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D2E9" w14:textId="0F0EB856" w:rsidR="00616270" w:rsidRDefault="00AA50D8" w:rsidP="00AA50D8">
      <w:pPr>
        <w:jc w:val="center"/>
        <w:rPr>
          <w:rFonts w:ascii="Arial Narrow" w:hAnsi="Arial Narrow" w:cs="Times-Roman"/>
          <w:b/>
          <w:bCs/>
          <w:color w:val="002060"/>
          <w:sz w:val="40"/>
          <w:szCs w:val="40"/>
        </w:rPr>
      </w:pPr>
      <w:r>
        <w:rPr>
          <w:rFonts w:ascii="Arial Narrow" w:hAnsi="Arial Narrow" w:cs="Times-Roman"/>
          <w:b/>
          <w:bCs/>
          <w:noProof/>
          <w:color w:val="002060"/>
          <w:sz w:val="40"/>
          <w:szCs w:val="40"/>
        </w:rPr>
        <w:drawing>
          <wp:inline distT="0" distB="0" distL="0" distR="0" wp14:anchorId="42C26C52" wp14:editId="322E9C21">
            <wp:extent cx="1253447" cy="123041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062" cy="1234945"/>
                    </a:xfrm>
                    <a:prstGeom prst="rect">
                      <a:avLst/>
                    </a:prstGeom>
                  </pic:spPr>
                </pic:pic>
              </a:graphicData>
            </a:graphic>
          </wp:inline>
        </w:drawing>
      </w:r>
    </w:p>
    <w:p w14:paraId="6EFBF707" w14:textId="64CDF7C4" w:rsidR="00616270" w:rsidRDefault="00616270" w:rsidP="00AA50D8">
      <w:pPr>
        <w:jc w:val="center"/>
        <w:rPr>
          <w:rFonts w:ascii="Arial Narrow" w:hAnsi="Arial Narrow" w:cs="Times-Roman"/>
          <w:b/>
          <w:bCs/>
          <w:color w:val="002060"/>
          <w:sz w:val="40"/>
          <w:szCs w:val="40"/>
        </w:rPr>
      </w:pPr>
    </w:p>
    <w:p w14:paraId="286CA111" w14:textId="43258611" w:rsidR="00616270" w:rsidRPr="00616270" w:rsidRDefault="00616270" w:rsidP="00AA50D8">
      <w:pPr>
        <w:rPr>
          <w:rFonts w:ascii="Arial Narrow" w:hAnsi="Arial Narrow" w:cs="Times-Roman"/>
          <w:b/>
          <w:bCs/>
          <w:color w:val="002060"/>
          <w:sz w:val="40"/>
          <w:szCs w:val="40"/>
        </w:rPr>
      </w:pPr>
      <w:r w:rsidRPr="00616270">
        <w:rPr>
          <w:rFonts w:ascii="Arial Narrow" w:hAnsi="Arial Narrow" w:cs="Times-Roman"/>
          <w:b/>
          <w:bCs/>
          <w:color w:val="002060"/>
          <w:sz w:val="40"/>
          <w:szCs w:val="40"/>
        </w:rPr>
        <w:t xml:space="preserve">Texas Housing Finance Corporations Act </w:t>
      </w:r>
    </w:p>
    <w:p w14:paraId="47FF417A" w14:textId="77777777" w:rsidR="00616270" w:rsidRPr="00616270" w:rsidRDefault="00616270">
      <w:pPr>
        <w:rPr>
          <w:rFonts w:ascii="Arial Narrow" w:hAnsi="Arial Narrow" w:cs="Times-Roman"/>
          <w:b/>
          <w:bCs/>
          <w:color w:val="002060"/>
          <w:sz w:val="36"/>
          <w:szCs w:val="36"/>
        </w:rPr>
      </w:pPr>
    </w:p>
    <w:p w14:paraId="106D5BB2" w14:textId="477DB242" w:rsidR="00616270" w:rsidRPr="00616270" w:rsidRDefault="00616270" w:rsidP="00616270">
      <w:pPr>
        <w:pStyle w:val="ListParagraph"/>
        <w:numPr>
          <w:ilvl w:val="0"/>
          <w:numId w:val="1"/>
        </w:numPr>
        <w:rPr>
          <w:rFonts w:ascii="Arial" w:hAnsi="Arial" w:cs="Arial"/>
          <w:color w:val="000000" w:themeColor="text1"/>
          <w:sz w:val="28"/>
          <w:szCs w:val="28"/>
        </w:rPr>
      </w:pPr>
      <w:r w:rsidRPr="00616270">
        <w:rPr>
          <w:rFonts w:ascii="Arial" w:hAnsi="Arial" w:cs="Arial"/>
          <w:color w:val="000000" w:themeColor="text1"/>
          <w:sz w:val="28"/>
          <w:szCs w:val="28"/>
        </w:rPr>
        <w:t xml:space="preserve">Housing finance corporations have broad powers to finance “residential developments” under the Act </w:t>
      </w:r>
    </w:p>
    <w:p w14:paraId="4F0D8C01" w14:textId="77777777" w:rsidR="00616270" w:rsidRPr="00616270" w:rsidRDefault="00616270">
      <w:pPr>
        <w:rPr>
          <w:rFonts w:ascii="Arial" w:hAnsi="Arial" w:cs="Arial"/>
          <w:color w:val="000000" w:themeColor="text1"/>
          <w:sz w:val="28"/>
          <w:szCs w:val="28"/>
        </w:rPr>
      </w:pPr>
    </w:p>
    <w:p w14:paraId="58AB5E3D" w14:textId="15FA899B" w:rsidR="00616270" w:rsidRPr="00616270" w:rsidRDefault="00616270" w:rsidP="00616270">
      <w:pPr>
        <w:pStyle w:val="ListParagraph"/>
        <w:numPr>
          <w:ilvl w:val="0"/>
          <w:numId w:val="1"/>
        </w:numPr>
        <w:rPr>
          <w:rFonts w:ascii="Arial" w:hAnsi="Arial" w:cs="Arial"/>
          <w:color w:val="000000" w:themeColor="text1"/>
          <w:sz w:val="28"/>
          <w:szCs w:val="28"/>
        </w:rPr>
      </w:pPr>
      <w:r w:rsidRPr="00616270">
        <w:rPr>
          <w:rFonts w:ascii="Arial" w:hAnsi="Arial" w:cs="Arial"/>
          <w:color w:val="000000" w:themeColor="text1"/>
          <w:sz w:val="28"/>
          <w:szCs w:val="28"/>
        </w:rPr>
        <w:t>At least 90% of the units in a residential development must be reserved for occupancy by persons of low and moderate income, as determined by the housing finance corporation</w:t>
      </w:r>
    </w:p>
    <w:p w14:paraId="7D266959" w14:textId="77777777" w:rsidR="00616270" w:rsidRPr="00616270" w:rsidRDefault="00616270">
      <w:pPr>
        <w:rPr>
          <w:rFonts w:ascii="Arial" w:hAnsi="Arial" w:cs="Arial"/>
          <w:color w:val="000000" w:themeColor="text1"/>
          <w:sz w:val="28"/>
          <w:szCs w:val="28"/>
        </w:rPr>
      </w:pPr>
    </w:p>
    <w:p w14:paraId="3D9045A8" w14:textId="6ED840BD" w:rsidR="007E3FFA" w:rsidRPr="00616270" w:rsidRDefault="00616270" w:rsidP="00616270">
      <w:pPr>
        <w:pStyle w:val="ListParagraph"/>
        <w:numPr>
          <w:ilvl w:val="0"/>
          <w:numId w:val="1"/>
        </w:numPr>
        <w:rPr>
          <w:rFonts w:ascii="Arial" w:hAnsi="Arial" w:cs="Arial"/>
          <w:color w:val="000000" w:themeColor="text1"/>
          <w:sz w:val="28"/>
          <w:szCs w:val="28"/>
        </w:rPr>
      </w:pPr>
      <w:r w:rsidRPr="00616270">
        <w:rPr>
          <w:rFonts w:ascii="Arial" w:hAnsi="Arial" w:cs="Arial"/>
          <w:color w:val="000000" w:themeColor="text1"/>
          <w:sz w:val="28"/>
          <w:szCs w:val="28"/>
        </w:rPr>
        <w:t>For bond-financed developments, 50% of the units must be reserved for individuals and families earning less than 80% of the area median income</w:t>
      </w:r>
    </w:p>
    <w:p w14:paraId="09810462" w14:textId="77777777" w:rsidR="00616270" w:rsidRPr="00616270" w:rsidRDefault="00616270" w:rsidP="00616270">
      <w:pPr>
        <w:pStyle w:val="ListParagraph"/>
        <w:rPr>
          <w:rFonts w:ascii="Arial" w:hAnsi="Arial" w:cs="Arial"/>
          <w:b/>
          <w:bCs/>
          <w:color w:val="000000" w:themeColor="text1"/>
          <w:sz w:val="28"/>
          <w:szCs w:val="28"/>
        </w:rPr>
      </w:pPr>
    </w:p>
    <w:p w14:paraId="79388CDD" w14:textId="2CD10849" w:rsidR="00616270" w:rsidRDefault="00616270" w:rsidP="00616270">
      <w:pPr>
        <w:rPr>
          <w:rFonts w:ascii="Arial Narrow" w:hAnsi="Arial Narrow"/>
          <w:b/>
          <w:bCs/>
          <w:color w:val="000000" w:themeColor="text1"/>
          <w:sz w:val="28"/>
          <w:szCs w:val="28"/>
        </w:rPr>
      </w:pPr>
    </w:p>
    <w:p w14:paraId="0AE859CA" w14:textId="77777777" w:rsidR="00616270" w:rsidRPr="00616270" w:rsidRDefault="00616270" w:rsidP="00616270">
      <w:pPr>
        <w:rPr>
          <w:color w:val="002060"/>
          <w:sz w:val="40"/>
          <w:szCs w:val="40"/>
        </w:rPr>
      </w:pPr>
      <w:r w:rsidRPr="00616270">
        <w:rPr>
          <w:rFonts w:ascii="Arial Narrow" w:hAnsi="Arial Narrow"/>
          <w:b/>
          <w:bCs/>
          <w:color w:val="002060"/>
          <w:sz w:val="40"/>
          <w:szCs w:val="40"/>
        </w:rPr>
        <w:t>Overview of Partnership Structure</w:t>
      </w:r>
      <w:r w:rsidRPr="00616270">
        <w:rPr>
          <w:color w:val="002060"/>
          <w:sz w:val="40"/>
          <w:szCs w:val="40"/>
        </w:rPr>
        <w:t xml:space="preserve"> </w:t>
      </w:r>
    </w:p>
    <w:p w14:paraId="5C385D08" w14:textId="77777777" w:rsidR="00616270" w:rsidRDefault="00616270" w:rsidP="00616270">
      <w:pPr>
        <w:rPr>
          <w:sz w:val="40"/>
          <w:szCs w:val="40"/>
        </w:rPr>
      </w:pPr>
    </w:p>
    <w:p w14:paraId="6F15199D" w14:textId="1810E843" w:rsidR="00616270" w:rsidRPr="00616270" w:rsidRDefault="00616270" w:rsidP="00616270">
      <w:pPr>
        <w:pStyle w:val="ListParagraph"/>
        <w:numPr>
          <w:ilvl w:val="0"/>
          <w:numId w:val="3"/>
        </w:numPr>
        <w:rPr>
          <w:rFonts w:ascii="Arial" w:hAnsi="Arial" w:cs="Arial"/>
          <w:sz w:val="28"/>
          <w:szCs w:val="28"/>
        </w:rPr>
      </w:pPr>
      <w:r w:rsidRPr="00616270">
        <w:rPr>
          <w:rFonts w:ascii="Arial" w:hAnsi="Arial" w:cs="Arial"/>
          <w:sz w:val="28"/>
          <w:szCs w:val="28"/>
        </w:rPr>
        <w:t xml:space="preserve">Often, the “borrower” in a multifamily housing financing consists of an entity formed by the developer and the tax credit investor </w:t>
      </w:r>
    </w:p>
    <w:p w14:paraId="729B919C" w14:textId="77777777" w:rsidR="00616270" w:rsidRPr="00616270" w:rsidRDefault="00616270" w:rsidP="00616270">
      <w:pPr>
        <w:rPr>
          <w:rFonts w:ascii="Arial" w:hAnsi="Arial" w:cs="Arial"/>
          <w:sz w:val="28"/>
          <w:szCs w:val="28"/>
        </w:rPr>
      </w:pPr>
    </w:p>
    <w:p w14:paraId="539EB699" w14:textId="5ECFD6F9" w:rsidR="00616270" w:rsidRPr="00616270" w:rsidRDefault="00616270" w:rsidP="00616270">
      <w:pPr>
        <w:pStyle w:val="ListParagraph"/>
        <w:numPr>
          <w:ilvl w:val="0"/>
          <w:numId w:val="3"/>
        </w:numPr>
        <w:rPr>
          <w:rFonts w:ascii="Arial" w:hAnsi="Arial" w:cs="Arial"/>
          <w:sz w:val="28"/>
          <w:szCs w:val="28"/>
        </w:rPr>
      </w:pPr>
      <w:r w:rsidRPr="00616270">
        <w:rPr>
          <w:rFonts w:ascii="Arial" w:hAnsi="Arial" w:cs="Arial"/>
          <w:sz w:val="28"/>
          <w:szCs w:val="28"/>
        </w:rPr>
        <w:t xml:space="preserve">Developers frequently seek to take advantage of the “partnership structure” by including a wholly-owned affiliate of the housing finance corporation as the general partner of the borrower </w:t>
      </w:r>
    </w:p>
    <w:p w14:paraId="6676F09C" w14:textId="77777777" w:rsidR="00616270" w:rsidRPr="00616270" w:rsidRDefault="00616270" w:rsidP="00616270">
      <w:pPr>
        <w:rPr>
          <w:rFonts w:ascii="Arial" w:hAnsi="Arial" w:cs="Arial"/>
          <w:sz w:val="28"/>
          <w:szCs w:val="28"/>
        </w:rPr>
      </w:pPr>
    </w:p>
    <w:p w14:paraId="6905B782" w14:textId="39AD7F85" w:rsidR="00616270" w:rsidRPr="00616270" w:rsidRDefault="00616270" w:rsidP="00616270">
      <w:pPr>
        <w:pStyle w:val="ListParagraph"/>
        <w:numPr>
          <w:ilvl w:val="0"/>
          <w:numId w:val="3"/>
        </w:numPr>
        <w:rPr>
          <w:rFonts w:ascii="Arial" w:hAnsi="Arial" w:cs="Arial"/>
          <w:sz w:val="28"/>
          <w:szCs w:val="28"/>
        </w:rPr>
      </w:pPr>
      <w:r w:rsidRPr="00616270">
        <w:rPr>
          <w:rFonts w:ascii="Arial" w:hAnsi="Arial" w:cs="Arial"/>
          <w:sz w:val="28"/>
          <w:szCs w:val="28"/>
        </w:rPr>
        <w:t xml:space="preserve">Using this structure in Texas generally permits the borrower to take advantage of exemptions from ad valorem property taxes. An exemption from sales tax hard construction costs can be obtained by the HFC or its affiliate serving as general contractor </w:t>
      </w:r>
    </w:p>
    <w:p w14:paraId="5001EE74" w14:textId="77777777" w:rsidR="00616270" w:rsidRPr="00616270" w:rsidRDefault="00616270" w:rsidP="00616270">
      <w:pPr>
        <w:rPr>
          <w:rFonts w:ascii="Arial" w:hAnsi="Arial" w:cs="Arial"/>
          <w:sz w:val="28"/>
          <w:szCs w:val="28"/>
        </w:rPr>
      </w:pPr>
    </w:p>
    <w:p w14:paraId="6A37A731" w14:textId="57508A3D" w:rsidR="00616270" w:rsidRPr="00616270" w:rsidRDefault="00616270" w:rsidP="00616270">
      <w:pPr>
        <w:pStyle w:val="ListParagraph"/>
        <w:numPr>
          <w:ilvl w:val="0"/>
          <w:numId w:val="3"/>
        </w:numPr>
        <w:rPr>
          <w:rFonts w:ascii="Arial" w:hAnsi="Arial" w:cs="Arial"/>
          <w:b/>
          <w:bCs/>
          <w:color w:val="000000" w:themeColor="text1"/>
          <w:sz w:val="28"/>
          <w:szCs w:val="28"/>
        </w:rPr>
      </w:pPr>
      <w:r w:rsidRPr="00616270">
        <w:rPr>
          <w:rFonts w:ascii="Arial" w:hAnsi="Arial" w:cs="Arial"/>
          <w:sz w:val="28"/>
          <w:szCs w:val="28"/>
        </w:rPr>
        <w:t>Partnership structure can be implemented in a bond</w:t>
      </w:r>
      <w:r w:rsidR="0084067C">
        <w:rPr>
          <w:rFonts w:ascii="Arial" w:hAnsi="Arial" w:cs="Arial"/>
          <w:sz w:val="28"/>
          <w:szCs w:val="28"/>
        </w:rPr>
        <w:t xml:space="preserve"> </w:t>
      </w:r>
      <w:r w:rsidRPr="00616270">
        <w:rPr>
          <w:rFonts w:ascii="Arial" w:hAnsi="Arial" w:cs="Arial"/>
          <w:sz w:val="28"/>
          <w:szCs w:val="28"/>
        </w:rPr>
        <w:t>4% LIHTC, 9% LIHTC financing and conventional financings</w:t>
      </w:r>
    </w:p>
    <w:p w14:paraId="1F189EA9" w14:textId="21C3896E" w:rsidR="00616270" w:rsidRPr="00616270" w:rsidRDefault="00616270" w:rsidP="00616270">
      <w:pPr>
        <w:rPr>
          <w:rFonts w:ascii="Arial" w:hAnsi="Arial" w:cs="Arial"/>
          <w:b/>
          <w:bCs/>
          <w:color w:val="002060"/>
          <w:sz w:val="40"/>
          <w:szCs w:val="40"/>
        </w:rPr>
      </w:pPr>
      <w:r w:rsidRPr="00616270">
        <w:rPr>
          <w:rFonts w:ascii="Arial" w:hAnsi="Arial" w:cs="Arial"/>
          <w:b/>
          <w:bCs/>
          <w:color w:val="002060"/>
          <w:sz w:val="40"/>
          <w:szCs w:val="40"/>
        </w:rPr>
        <w:lastRenderedPageBreak/>
        <w:t xml:space="preserve">Overview of Partnership Structure </w:t>
      </w:r>
    </w:p>
    <w:p w14:paraId="18D076AC" w14:textId="77777777" w:rsidR="00616270" w:rsidRDefault="00616270" w:rsidP="00616270"/>
    <w:p w14:paraId="25F61518" w14:textId="02B71BDA" w:rsidR="00616270" w:rsidRPr="00616270" w:rsidRDefault="00616270" w:rsidP="00616270">
      <w:pPr>
        <w:pStyle w:val="ListParagraph"/>
        <w:rPr>
          <w:rFonts w:ascii="Arial" w:hAnsi="Arial" w:cs="Arial"/>
          <w:sz w:val="28"/>
          <w:szCs w:val="28"/>
        </w:rPr>
      </w:pPr>
      <w:r w:rsidRPr="00616270">
        <w:rPr>
          <w:rFonts w:ascii="Arial" w:hAnsi="Arial" w:cs="Arial"/>
          <w:sz w:val="28"/>
          <w:szCs w:val="28"/>
        </w:rPr>
        <w:t xml:space="preserve">The “partnership structure” in Texas generally involves participation of the housing finance corporation in one or more of the following roles: </w:t>
      </w:r>
    </w:p>
    <w:p w14:paraId="45B425BB" w14:textId="77777777" w:rsidR="00616270" w:rsidRPr="00616270" w:rsidRDefault="00616270" w:rsidP="00616270">
      <w:pPr>
        <w:pStyle w:val="ListParagraph"/>
        <w:rPr>
          <w:rFonts w:ascii="Arial" w:hAnsi="Arial" w:cs="Arial"/>
          <w:sz w:val="28"/>
          <w:szCs w:val="28"/>
        </w:rPr>
      </w:pPr>
    </w:p>
    <w:p w14:paraId="6542236E" w14:textId="757D91B3" w:rsidR="00616270" w:rsidRPr="00616270" w:rsidRDefault="00616270" w:rsidP="00616270">
      <w:pPr>
        <w:pStyle w:val="ListParagraph"/>
        <w:numPr>
          <w:ilvl w:val="0"/>
          <w:numId w:val="5"/>
        </w:numPr>
        <w:rPr>
          <w:rFonts w:ascii="Arial" w:hAnsi="Arial" w:cs="Arial"/>
          <w:b/>
          <w:bCs/>
          <w:color w:val="000000" w:themeColor="text1"/>
          <w:sz w:val="28"/>
          <w:szCs w:val="28"/>
        </w:rPr>
      </w:pPr>
      <w:r w:rsidRPr="00616270">
        <w:rPr>
          <w:rFonts w:ascii="Arial" w:hAnsi="Arial" w:cs="Arial"/>
          <w:b/>
          <w:bCs/>
          <w:color w:val="1F3864" w:themeColor="accent1" w:themeShade="80"/>
          <w:sz w:val="28"/>
          <w:szCs w:val="28"/>
        </w:rPr>
        <w:t>General Partner</w:t>
      </w:r>
      <w:r w:rsidRPr="00616270">
        <w:rPr>
          <w:rFonts w:ascii="Arial" w:hAnsi="Arial" w:cs="Arial"/>
          <w:sz w:val="28"/>
          <w:szCs w:val="28"/>
        </w:rPr>
        <w:t xml:space="preserve">. GP in a limited partnership with the affordable housing developer and tax credit investor </w:t>
      </w:r>
    </w:p>
    <w:p w14:paraId="6D4B78A9" w14:textId="77777777" w:rsidR="00616270" w:rsidRPr="00616270" w:rsidRDefault="00616270" w:rsidP="00616270">
      <w:pPr>
        <w:pStyle w:val="ListParagraph"/>
        <w:ind w:left="1440"/>
        <w:rPr>
          <w:rFonts w:ascii="Arial" w:hAnsi="Arial" w:cs="Arial"/>
          <w:b/>
          <w:bCs/>
          <w:color w:val="000000" w:themeColor="text1"/>
          <w:sz w:val="28"/>
          <w:szCs w:val="28"/>
        </w:rPr>
      </w:pPr>
    </w:p>
    <w:p w14:paraId="16903F42" w14:textId="63C85C52" w:rsidR="00616270" w:rsidRPr="00616270" w:rsidRDefault="00616270" w:rsidP="00616270">
      <w:pPr>
        <w:pStyle w:val="ListParagraph"/>
        <w:numPr>
          <w:ilvl w:val="0"/>
          <w:numId w:val="5"/>
        </w:numPr>
        <w:rPr>
          <w:rFonts w:ascii="Arial" w:hAnsi="Arial" w:cs="Arial"/>
          <w:b/>
          <w:bCs/>
          <w:color w:val="000000" w:themeColor="text1"/>
          <w:sz w:val="28"/>
          <w:szCs w:val="28"/>
        </w:rPr>
      </w:pPr>
      <w:r w:rsidRPr="00616270">
        <w:rPr>
          <w:rFonts w:ascii="Arial" w:hAnsi="Arial" w:cs="Arial"/>
          <w:b/>
          <w:bCs/>
          <w:color w:val="1F3864" w:themeColor="accent1" w:themeShade="80"/>
          <w:sz w:val="28"/>
          <w:szCs w:val="28"/>
        </w:rPr>
        <w:t>Ground Lessor</w:t>
      </w:r>
      <w:r w:rsidRPr="00616270">
        <w:rPr>
          <w:rFonts w:ascii="Arial" w:hAnsi="Arial" w:cs="Arial"/>
          <w:sz w:val="28"/>
          <w:szCs w:val="28"/>
        </w:rPr>
        <w:t xml:space="preserve">. Formed to own the land on which the development is located. Leases land back to borrower pursuant to long-term lease </w:t>
      </w:r>
    </w:p>
    <w:p w14:paraId="5C30A383" w14:textId="77777777" w:rsidR="00616270" w:rsidRPr="00616270" w:rsidRDefault="00616270" w:rsidP="00616270">
      <w:pPr>
        <w:pStyle w:val="ListParagraph"/>
        <w:ind w:left="1440"/>
        <w:rPr>
          <w:rFonts w:ascii="Arial" w:hAnsi="Arial" w:cs="Arial"/>
          <w:b/>
          <w:bCs/>
          <w:color w:val="1F3864" w:themeColor="accent1" w:themeShade="80"/>
          <w:sz w:val="28"/>
          <w:szCs w:val="28"/>
        </w:rPr>
      </w:pPr>
    </w:p>
    <w:p w14:paraId="442CB8B7" w14:textId="50FDC2C3" w:rsidR="00616270" w:rsidRPr="00616270" w:rsidRDefault="00616270" w:rsidP="00616270">
      <w:pPr>
        <w:pStyle w:val="ListParagraph"/>
        <w:numPr>
          <w:ilvl w:val="0"/>
          <w:numId w:val="5"/>
        </w:numPr>
        <w:rPr>
          <w:rFonts w:ascii="Arial" w:hAnsi="Arial" w:cs="Arial"/>
          <w:b/>
          <w:bCs/>
          <w:color w:val="000000" w:themeColor="text1"/>
          <w:sz w:val="28"/>
          <w:szCs w:val="28"/>
        </w:rPr>
      </w:pPr>
      <w:r w:rsidRPr="00616270">
        <w:rPr>
          <w:rFonts w:ascii="Arial" w:hAnsi="Arial" w:cs="Arial"/>
          <w:b/>
          <w:bCs/>
          <w:color w:val="1F3864" w:themeColor="accent1" w:themeShade="80"/>
          <w:sz w:val="28"/>
          <w:szCs w:val="28"/>
        </w:rPr>
        <w:t>Co-Developer</w:t>
      </w:r>
      <w:r w:rsidRPr="00616270">
        <w:rPr>
          <w:rFonts w:ascii="Arial" w:hAnsi="Arial" w:cs="Arial"/>
          <w:sz w:val="28"/>
          <w:szCs w:val="28"/>
        </w:rPr>
        <w:t>. Formed to serve as co-developer along with affordable housing developer in connection with a development agreement</w:t>
      </w:r>
    </w:p>
    <w:p w14:paraId="67C90767" w14:textId="77777777" w:rsidR="00616270" w:rsidRPr="00616270" w:rsidRDefault="00616270" w:rsidP="00616270">
      <w:pPr>
        <w:pStyle w:val="ListParagraph"/>
        <w:rPr>
          <w:rFonts w:ascii="Arial" w:hAnsi="Arial" w:cs="Arial"/>
          <w:b/>
          <w:bCs/>
          <w:color w:val="000000" w:themeColor="text1"/>
          <w:sz w:val="28"/>
          <w:szCs w:val="28"/>
        </w:rPr>
      </w:pPr>
    </w:p>
    <w:p w14:paraId="692A8D02" w14:textId="0360D652" w:rsidR="00616270" w:rsidRPr="00616270" w:rsidRDefault="00616270" w:rsidP="00616270">
      <w:pPr>
        <w:pStyle w:val="ListParagraph"/>
        <w:numPr>
          <w:ilvl w:val="0"/>
          <w:numId w:val="5"/>
        </w:numPr>
        <w:rPr>
          <w:rFonts w:ascii="Arial" w:hAnsi="Arial" w:cs="Arial"/>
          <w:b/>
          <w:bCs/>
          <w:color w:val="000000" w:themeColor="text1"/>
          <w:sz w:val="28"/>
          <w:szCs w:val="28"/>
        </w:rPr>
      </w:pPr>
      <w:r w:rsidRPr="00616270">
        <w:rPr>
          <w:rFonts w:ascii="Arial" w:hAnsi="Arial" w:cs="Arial"/>
          <w:b/>
          <w:bCs/>
          <w:color w:val="1F3864" w:themeColor="accent1" w:themeShade="80"/>
          <w:sz w:val="28"/>
          <w:szCs w:val="28"/>
        </w:rPr>
        <w:t>General Contractor.</w:t>
      </w:r>
      <w:r w:rsidRPr="00616270">
        <w:rPr>
          <w:rFonts w:ascii="Arial" w:hAnsi="Arial" w:cs="Arial"/>
          <w:color w:val="1F3864" w:themeColor="accent1" w:themeShade="80"/>
          <w:sz w:val="28"/>
          <w:szCs w:val="28"/>
        </w:rPr>
        <w:t xml:space="preserve"> </w:t>
      </w:r>
      <w:r w:rsidRPr="00616270">
        <w:rPr>
          <w:rFonts w:ascii="Arial" w:hAnsi="Arial" w:cs="Arial"/>
          <w:sz w:val="28"/>
          <w:szCs w:val="28"/>
        </w:rPr>
        <w:t>Enters into a construction contract (and subcontract) or joint venture agreement with respect to construction of the affordable housing development</w:t>
      </w:r>
    </w:p>
    <w:p w14:paraId="78E9E3EC" w14:textId="77777777" w:rsidR="00616270" w:rsidRPr="00616270" w:rsidRDefault="00616270" w:rsidP="00616270">
      <w:pPr>
        <w:pStyle w:val="ListParagraph"/>
        <w:rPr>
          <w:rFonts w:ascii="Arial" w:hAnsi="Arial" w:cs="Arial"/>
          <w:b/>
          <w:bCs/>
          <w:color w:val="000000" w:themeColor="text1"/>
          <w:sz w:val="28"/>
          <w:szCs w:val="28"/>
        </w:rPr>
      </w:pPr>
    </w:p>
    <w:p w14:paraId="4E954839" w14:textId="50008E32" w:rsidR="00616270" w:rsidRPr="00616270" w:rsidRDefault="00616270" w:rsidP="00616270">
      <w:pPr>
        <w:rPr>
          <w:rFonts w:ascii="Arial" w:hAnsi="Arial" w:cs="Arial"/>
          <w:b/>
          <w:bCs/>
          <w:color w:val="1F3864" w:themeColor="accent1" w:themeShade="80"/>
          <w:sz w:val="40"/>
          <w:szCs w:val="40"/>
        </w:rPr>
      </w:pPr>
      <w:r w:rsidRPr="00616270">
        <w:rPr>
          <w:rFonts w:ascii="Arial" w:hAnsi="Arial" w:cs="Arial"/>
          <w:b/>
          <w:bCs/>
          <w:color w:val="1F3864" w:themeColor="accent1" w:themeShade="80"/>
          <w:sz w:val="40"/>
          <w:szCs w:val="40"/>
        </w:rPr>
        <w:t>Partnership Structure Tax Exemption</w:t>
      </w:r>
    </w:p>
    <w:p w14:paraId="388673BD" w14:textId="77777777" w:rsidR="00AA50D8" w:rsidRDefault="00AA50D8" w:rsidP="00616270">
      <w:pPr>
        <w:rPr>
          <w:rFonts w:ascii="Arial" w:hAnsi="Arial" w:cs="Arial"/>
          <w:b/>
          <w:bCs/>
          <w:color w:val="1F3864" w:themeColor="accent1" w:themeShade="80"/>
          <w:sz w:val="40"/>
          <w:szCs w:val="40"/>
        </w:rPr>
      </w:pPr>
    </w:p>
    <w:p w14:paraId="03F03ECD" w14:textId="737A5E74" w:rsidR="00616270" w:rsidRDefault="00616270" w:rsidP="00616270">
      <w:pPr>
        <w:rPr>
          <w:rFonts w:ascii="Arial" w:hAnsi="Arial" w:cs="Arial"/>
          <w:color w:val="1F3864" w:themeColor="accent1" w:themeShade="80"/>
          <w:sz w:val="28"/>
          <w:szCs w:val="28"/>
        </w:rPr>
      </w:pPr>
      <w:r w:rsidRPr="00616270">
        <w:rPr>
          <w:rFonts w:ascii="Arial" w:hAnsi="Arial" w:cs="Arial"/>
          <w:b/>
          <w:bCs/>
          <w:color w:val="1F3864" w:themeColor="accent1" w:themeShade="80"/>
          <w:sz w:val="28"/>
          <w:szCs w:val="28"/>
        </w:rPr>
        <w:t>Ad Valorem Property Tax Exemption</w:t>
      </w:r>
      <w:r w:rsidRPr="00616270">
        <w:rPr>
          <w:rFonts w:ascii="Arial" w:hAnsi="Arial" w:cs="Arial"/>
          <w:color w:val="1F3864" w:themeColor="accent1" w:themeShade="80"/>
          <w:sz w:val="28"/>
          <w:szCs w:val="28"/>
        </w:rPr>
        <w:t xml:space="preserve"> </w:t>
      </w:r>
    </w:p>
    <w:p w14:paraId="6EFCC593" w14:textId="77777777" w:rsidR="00616270" w:rsidRPr="00616270" w:rsidRDefault="00616270" w:rsidP="00616270">
      <w:pPr>
        <w:rPr>
          <w:rFonts w:ascii="Arial" w:hAnsi="Arial" w:cs="Arial"/>
          <w:sz w:val="28"/>
          <w:szCs w:val="28"/>
        </w:rPr>
      </w:pPr>
    </w:p>
    <w:p w14:paraId="031F85C9" w14:textId="310B6E97" w:rsidR="00616270" w:rsidRPr="00616270" w:rsidRDefault="00616270" w:rsidP="00616270">
      <w:pPr>
        <w:pStyle w:val="ListParagraph"/>
        <w:numPr>
          <w:ilvl w:val="0"/>
          <w:numId w:val="6"/>
        </w:numPr>
        <w:rPr>
          <w:rFonts w:ascii="Arial" w:hAnsi="Arial" w:cs="Arial"/>
          <w:sz w:val="28"/>
          <w:szCs w:val="28"/>
        </w:rPr>
      </w:pPr>
      <w:r w:rsidRPr="00616270">
        <w:rPr>
          <w:rFonts w:ascii="Arial" w:hAnsi="Arial" w:cs="Arial"/>
          <w:sz w:val="28"/>
          <w:szCs w:val="28"/>
        </w:rPr>
        <w:t>Ad valorem property tax exemption has been challenged based on the argument that housing finance corporation does not truly own the land due to long term lease to the borrower</w:t>
      </w:r>
    </w:p>
    <w:p w14:paraId="1E9E73EB" w14:textId="77777777" w:rsidR="00616270" w:rsidRPr="00616270" w:rsidRDefault="00616270" w:rsidP="00616270">
      <w:pPr>
        <w:pStyle w:val="ListParagraph"/>
        <w:rPr>
          <w:rFonts w:ascii="Arial" w:hAnsi="Arial" w:cs="Arial"/>
          <w:sz w:val="28"/>
          <w:szCs w:val="28"/>
        </w:rPr>
      </w:pPr>
    </w:p>
    <w:p w14:paraId="0F3F4B98" w14:textId="3F9ACCF2" w:rsidR="00616270" w:rsidRPr="00616270" w:rsidRDefault="00616270" w:rsidP="00616270">
      <w:pPr>
        <w:pStyle w:val="ListParagraph"/>
        <w:numPr>
          <w:ilvl w:val="0"/>
          <w:numId w:val="6"/>
        </w:numPr>
        <w:rPr>
          <w:rFonts w:ascii="Arial" w:hAnsi="Arial" w:cs="Arial"/>
          <w:sz w:val="28"/>
          <w:szCs w:val="28"/>
        </w:rPr>
      </w:pPr>
      <w:r w:rsidRPr="00616270">
        <w:rPr>
          <w:rFonts w:ascii="Arial" w:hAnsi="Arial" w:cs="Arial"/>
          <w:sz w:val="28"/>
          <w:szCs w:val="28"/>
        </w:rPr>
        <w:t xml:space="preserve">Texas courts have upheld the exemption so long as the housing finance corporation has “beneficial ownership.” See Harris County Appraisal District v. Southeast Texas Housing Finance Corporation. </w:t>
      </w:r>
    </w:p>
    <w:p w14:paraId="30B529A5" w14:textId="77777777" w:rsidR="00616270" w:rsidRPr="00616270" w:rsidRDefault="00616270" w:rsidP="00616270">
      <w:pPr>
        <w:pStyle w:val="ListParagraph"/>
        <w:rPr>
          <w:rFonts w:ascii="Arial" w:hAnsi="Arial" w:cs="Arial"/>
          <w:sz w:val="28"/>
          <w:szCs w:val="28"/>
        </w:rPr>
      </w:pPr>
    </w:p>
    <w:p w14:paraId="6E103BED" w14:textId="77777777" w:rsidR="00616270" w:rsidRPr="00616270" w:rsidRDefault="00616270" w:rsidP="00616270">
      <w:pPr>
        <w:pStyle w:val="ListParagraph"/>
        <w:numPr>
          <w:ilvl w:val="0"/>
          <w:numId w:val="6"/>
        </w:numPr>
        <w:rPr>
          <w:rFonts w:ascii="Arial" w:hAnsi="Arial" w:cs="Arial"/>
          <w:sz w:val="28"/>
          <w:szCs w:val="28"/>
        </w:rPr>
      </w:pPr>
      <w:r w:rsidRPr="00616270">
        <w:rPr>
          <w:rFonts w:ascii="Arial" w:hAnsi="Arial" w:cs="Arial"/>
          <w:sz w:val="28"/>
          <w:szCs w:val="28"/>
        </w:rPr>
        <w:t xml:space="preserve">Key factors in determining beneficial ownership include: </w:t>
      </w:r>
    </w:p>
    <w:p w14:paraId="5355D3B7" w14:textId="1EA7EE98" w:rsidR="00616270" w:rsidRPr="00616270" w:rsidRDefault="00616270" w:rsidP="00616270">
      <w:pPr>
        <w:pStyle w:val="ListParagraph"/>
        <w:numPr>
          <w:ilvl w:val="0"/>
          <w:numId w:val="7"/>
        </w:numPr>
        <w:rPr>
          <w:rFonts w:ascii="Arial" w:hAnsi="Arial" w:cs="Arial"/>
          <w:sz w:val="28"/>
          <w:szCs w:val="28"/>
        </w:rPr>
      </w:pPr>
      <w:r w:rsidRPr="00616270">
        <w:rPr>
          <w:rFonts w:ascii="Arial" w:hAnsi="Arial" w:cs="Arial"/>
          <w:sz w:val="28"/>
          <w:szCs w:val="28"/>
        </w:rPr>
        <w:t xml:space="preserve">Land titled in HFC-owned entity </w:t>
      </w:r>
    </w:p>
    <w:p w14:paraId="512FFF66" w14:textId="65D80F2D" w:rsidR="00616270" w:rsidRPr="00616270" w:rsidRDefault="00616270" w:rsidP="00616270">
      <w:pPr>
        <w:pStyle w:val="ListParagraph"/>
        <w:numPr>
          <w:ilvl w:val="0"/>
          <w:numId w:val="7"/>
        </w:numPr>
        <w:rPr>
          <w:rFonts w:ascii="Arial" w:hAnsi="Arial" w:cs="Arial"/>
          <w:sz w:val="28"/>
          <w:szCs w:val="28"/>
        </w:rPr>
      </w:pPr>
      <w:r w:rsidRPr="00616270">
        <w:rPr>
          <w:rFonts w:ascii="Arial" w:hAnsi="Arial" w:cs="Arial"/>
          <w:sz w:val="28"/>
          <w:szCs w:val="28"/>
        </w:rPr>
        <w:t>HFC has right to compel title at any time (</w:t>
      </w:r>
      <w:proofErr w:type="gramStart"/>
      <w:r w:rsidRPr="00616270">
        <w:rPr>
          <w:rFonts w:ascii="Arial" w:hAnsi="Arial" w:cs="Arial"/>
          <w:sz w:val="28"/>
          <w:szCs w:val="28"/>
        </w:rPr>
        <w:t>i.e.</w:t>
      </w:r>
      <w:proofErr w:type="gramEnd"/>
      <w:r>
        <w:rPr>
          <w:rFonts w:ascii="Arial" w:hAnsi="Arial" w:cs="Arial"/>
          <w:sz w:val="28"/>
          <w:szCs w:val="28"/>
        </w:rPr>
        <w:t xml:space="preserve"> </w:t>
      </w:r>
      <w:r w:rsidRPr="00616270">
        <w:rPr>
          <w:rFonts w:ascii="Arial" w:hAnsi="Arial" w:cs="Arial"/>
          <w:sz w:val="28"/>
          <w:szCs w:val="28"/>
        </w:rPr>
        <w:t xml:space="preserve">purchase option) </w:t>
      </w:r>
    </w:p>
    <w:p w14:paraId="369D629F" w14:textId="77777777" w:rsidR="00616270" w:rsidRDefault="00616270" w:rsidP="00616270">
      <w:pPr>
        <w:pStyle w:val="ListParagraph"/>
        <w:numPr>
          <w:ilvl w:val="0"/>
          <w:numId w:val="7"/>
        </w:numPr>
        <w:rPr>
          <w:rFonts w:ascii="Arial" w:hAnsi="Arial" w:cs="Arial"/>
          <w:sz w:val="28"/>
          <w:szCs w:val="28"/>
        </w:rPr>
      </w:pPr>
      <w:r w:rsidRPr="00616270">
        <w:rPr>
          <w:rFonts w:ascii="Arial" w:hAnsi="Arial" w:cs="Arial"/>
          <w:sz w:val="28"/>
          <w:szCs w:val="28"/>
        </w:rPr>
        <w:t>Reversion to housing finance corporation upon dissolution of subsidiary</w:t>
      </w:r>
    </w:p>
    <w:p w14:paraId="59794AF6" w14:textId="4EDD4B59" w:rsidR="00616270" w:rsidRPr="00616270" w:rsidRDefault="00616270" w:rsidP="00616270">
      <w:pPr>
        <w:rPr>
          <w:rFonts w:ascii="Arial" w:hAnsi="Arial" w:cs="Arial"/>
          <w:sz w:val="28"/>
          <w:szCs w:val="28"/>
        </w:rPr>
      </w:pPr>
      <w:r w:rsidRPr="00616270">
        <w:rPr>
          <w:rFonts w:ascii="Arial" w:hAnsi="Arial" w:cs="Arial"/>
          <w:b/>
          <w:bCs/>
          <w:color w:val="1F3864" w:themeColor="accent1" w:themeShade="80"/>
          <w:sz w:val="40"/>
          <w:szCs w:val="40"/>
        </w:rPr>
        <w:lastRenderedPageBreak/>
        <w:t xml:space="preserve">Partnership Structure Tax Exemption </w:t>
      </w:r>
    </w:p>
    <w:p w14:paraId="60986780" w14:textId="77777777" w:rsidR="00616270" w:rsidRPr="00616270" w:rsidRDefault="00616270" w:rsidP="00616270">
      <w:pPr>
        <w:rPr>
          <w:rFonts w:ascii="Arial" w:hAnsi="Arial" w:cs="Arial"/>
          <w:b/>
          <w:bCs/>
          <w:color w:val="1F3864" w:themeColor="accent1" w:themeShade="80"/>
          <w:sz w:val="28"/>
          <w:szCs w:val="28"/>
        </w:rPr>
      </w:pPr>
    </w:p>
    <w:p w14:paraId="1ECE0C25" w14:textId="51C7809A" w:rsidR="00616270" w:rsidRDefault="00616270" w:rsidP="00616270">
      <w:pPr>
        <w:rPr>
          <w:rFonts w:ascii="Arial" w:hAnsi="Arial" w:cs="Arial"/>
          <w:b/>
          <w:bCs/>
          <w:color w:val="1F3864" w:themeColor="accent1" w:themeShade="80"/>
          <w:sz w:val="28"/>
          <w:szCs w:val="28"/>
        </w:rPr>
      </w:pPr>
      <w:r w:rsidRPr="00616270">
        <w:rPr>
          <w:rFonts w:ascii="Arial" w:hAnsi="Arial" w:cs="Arial"/>
          <w:b/>
          <w:bCs/>
          <w:color w:val="1F3864" w:themeColor="accent1" w:themeShade="80"/>
          <w:sz w:val="28"/>
          <w:szCs w:val="28"/>
        </w:rPr>
        <w:t xml:space="preserve">Sales Tax Exemption </w:t>
      </w:r>
    </w:p>
    <w:p w14:paraId="6D9D6B62" w14:textId="77777777" w:rsidR="00616270" w:rsidRPr="00616270" w:rsidRDefault="00616270" w:rsidP="00616270">
      <w:pPr>
        <w:rPr>
          <w:rFonts w:ascii="Arial" w:hAnsi="Arial" w:cs="Arial"/>
          <w:b/>
          <w:bCs/>
          <w:color w:val="1F3864" w:themeColor="accent1" w:themeShade="80"/>
          <w:sz w:val="28"/>
          <w:szCs w:val="28"/>
        </w:rPr>
      </w:pPr>
    </w:p>
    <w:p w14:paraId="64FCED60" w14:textId="5A555FE4" w:rsidR="00616270" w:rsidRPr="00616270" w:rsidRDefault="00616270" w:rsidP="00616270">
      <w:pPr>
        <w:pStyle w:val="ListParagraph"/>
        <w:numPr>
          <w:ilvl w:val="0"/>
          <w:numId w:val="8"/>
        </w:numPr>
        <w:rPr>
          <w:rFonts w:ascii="Arial" w:hAnsi="Arial" w:cs="Arial"/>
          <w:sz w:val="28"/>
          <w:szCs w:val="28"/>
        </w:rPr>
      </w:pPr>
      <w:r w:rsidRPr="00616270">
        <w:rPr>
          <w:sz w:val="28"/>
          <w:szCs w:val="28"/>
        </w:rPr>
        <w:t xml:space="preserve">Housing finance corporations can obtain sales tax exemption three different ways: </w:t>
      </w:r>
    </w:p>
    <w:p w14:paraId="184C814D" w14:textId="77777777" w:rsidR="00616270" w:rsidRPr="00616270" w:rsidRDefault="00616270" w:rsidP="00616270">
      <w:pPr>
        <w:pStyle w:val="ListParagraph"/>
        <w:rPr>
          <w:rFonts w:ascii="Arial" w:hAnsi="Arial" w:cs="Arial"/>
          <w:sz w:val="28"/>
          <w:szCs w:val="28"/>
        </w:rPr>
      </w:pPr>
    </w:p>
    <w:p w14:paraId="5BA8CF6E" w14:textId="762A9636" w:rsidR="00616270" w:rsidRPr="00616270" w:rsidRDefault="00616270" w:rsidP="00616270">
      <w:pPr>
        <w:pStyle w:val="ListParagraph"/>
        <w:numPr>
          <w:ilvl w:val="0"/>
          <w:numId w:val="9"/>
        </w:numPr>
        <w:rPr>
          <w:sz w:val="28"/>
          <w:szCs w:val="28"/>
        </w:rPr>
      </w:pPr>
      <w:r w:rsidRPr="00616270">
        <w:rPr>
          <w:sz w:val="28"/>
          <w:szCs w:val="28"/>
        </w:rPr>
        <w:t xml:space="preserve">Directly, by acting in the name of the housing finance corporation </w:t>
      </w:r>
    </w:p>
    <w:p w14:paraId="0A797C53" w14:textId="77777777" w:rsidR="00616270" w:rsidRPr="00616270" w:rsidRDefault="00616270" w:rsidP="00616270">
      <w:pPr>
        <w:pStyle w:val="ListParagraph"/>
        <w:numPr>
          <w:ilvl w:val="0"/>
          <w:numId w:val="9"/>
        </w:numPr>
        <w:rPr>
          <w:rFonts w:ascii="Arial" w:hAnsi="Arial" w:cs="Arial"/>
          <w:sz w:val="28"/>
          <w:szCs w:val="28"/>
        </w:rPr>
      </w:pPr>
      <w:r w:rsidRPr="00616270">
        <w:rPr>
          <w:sz w:val="28"/>
          <w:szCs w:val="28"/>
        </w:rPr>
        <w:t xml:space="preserve">Forming a 501(c)(3) entity </w:t>
      </w:r>
    </w:p>
    <w:p w14:paraId="73273CD7" w14:textId="4A093340" w:rsidR="00616270" w:rsidRPr="00616270" w:rsidRDefault="00616270" w:rsidP="00616270">
      <w:pPr>
        <w:pStyle w:val="ListParagraph"/>
        <w:numPr>
          <w:ilvl w:val="0"/>
          <w:numId w:val="9"/>
        </w:numPr>
        <w:rPr>
          <w:rFonts w:ascii="Arial" w:hAnsi="Arial" w:cs="Arial"/>
          <w:sz w:val="28"/>
          <w:szCs w:val="28"/>
        </w:rPr>
      </w:pPr>
      <w:r w:rsidRPr="00616270">
        <w:rPr>
          <w:sz w:val="28"/>
          <w:szCs w:val="28"/>
        </w:rPr>
        <w:t xml:space="preserve">Forming an LLC to act as agent of the housing finance corporation </w:t>
      </w:r>
    </w:p>
    <w:p w14:paraId="5DFFF4A4" w14:textId="77777777" w:rsidR="00616270" w:rsidRPr="00616270" w:rsidRDefault="00616270" w:rsidP="00616270">
      <w:pPr>
        <w:pStyle w:val="ListParagraph"/>
        <w:ind w:left="1440"/>
        <w:rPr>
          <w:rFonts w:ascii="Arial" w:hAnsi="Arial" w:cs="Arial"/>
          <w:sz w:val="28"/>
          <w:szCs w:val="28"/>
        </w:rPr>
      </w:pPr>
    </w:p>
    <w:p w14:paraId="4222BA0B" w14:textId="1F53F694" w:rsidR="00616270" w:rsidRPr="00616270" w:rsidRDefault="00616270" w:rsidP="00616270">
      <w:pPr>
        <w:pStyle w:val="ListParagraph"/>
        <w:numPr>
          <w:ilvl w:val="0"/>
          <w:numId w:val="8"/>
        </w:numPr>
        <w:rPr>
          <w:rFonts w:ascii="Arial" w:hAnsi="Arial" w:cs="Arial"/>
          <w:sz w:val="28"/>
          <w:szCs w:val="28"/>
        </w:rPr>
      </w:pPr>
      <w:r w:rsidRPr="00616270">
        <w:rPr>
          <w:sz w:val="28"/>
          <w:szCs w:val="28"/>
        </w:rPr>
        <w:t>Sales tax exemption may be achieved through Master/Sub or Joint Venture structures</w:t>
      </w:r>
    </w:p>
    <w:p w14:paraId="6CEF6FC4" w14:textId="389F9D5A" w:rsidR="00616270" w:rsidRDefault="00616270" w:rsidP="00616270">
      <w:pPr>
        <w:rPr>
          <w:rFonts w:ascii="Arial" w:hAnsi="Arial" w:cs="Arial"/>
          <w:sz w:val="28"/>
          <w:szCs w:val="28"/>
        </w:rPr>
      </w:pPr>
    </w:p>
    <w:p w14:paraId="5E6455F1" w14:textId="4A41ECFF" w:rsidR="00616270" w:rsidRPr="00616270" w:rsidRDefault="00616270" w:rsidP="00616270">
      <w:pPr>
        <w:rPr>
          <w:rFonts w:ascii="Arial" w:hAnsi="Arial" w:cs="Arial"/>
          <w:b/>
          <w:bCs/>
          <w:sz w:val="28"/>
          <w:szCs w:val="28"/>
        </w:rPr>
      </w:pPr>
    </w:p>
    <w:p w14:paraId="2F599461" w14:textId="1E20F375" w:rsidR="00616270" w:rsidRPr="00616270" w:rsidRDefault="00616270" w:rsidP="00616270">
      <w:pPr>
        <w:rPr>
          <w:rFonts w:ascii="Arial" w:hAnsi="Arial" w:cs="Arial"/>
          <w:b/>
          <w:bCs/>
          <w:color w:val="1F3864" w:themeColor="accent1" w:themeShade="80"/>
          <w:sz w:val="40"/>
          <w:szCs w:val="40"/>
        </w:rPr>
      </w:pPr>
      <w:r w:rsidRPr="00616270">
        <w:rPr>
          <w:rFonts w:ascii="Arial" w:hAnsi="Arial" w:cs="Arial"/>
          <w:b/>
          <w:bCs/>
          <w:color w:val="1F3864" w:themeColor="accent1" w:themeShade="80"/>
          <w:sz w:val="40"/>
          <w:szCs w:val="40"/>
        </w:rPr>
        <w:t xml:space="preserve">Limitation of HFC Liability </w:t>
      </w:r>
    </w:p>
    <w:p w14:paraId="7128A2BF" w14:textId="77777777" w:rsidR="00616270" w:rsidRPr="00616270" w:rsidRDefault="00616270" w:rsidP="00616270">
      <w:pPr>
        <w:rPr>
          <w:rFonts w:ascii="Arial" w:hAnsi="Arial" w:cs="Arial"/>
          <w:b/>
          <w:bCs/>
          <w:color w:val="1F3864" w:themeColor="accent1" w:themeShade="80"/>
          <w:sz w:val="36"/>
          <w:szCs w:val="36"/>
        </w:rPr>
      </w:pPr>
    </w:p>
    <w:p w14:paraId="3DC1794B" w14:textId="78A4F34F" w:rsidR="00616270" w:rsidRDefault="00616270" w:rsidP="00616270">
      <w:pPr>
        <w:pStyle w:val="ListParagraph"/>
        <w:numPr>
          <w:ilvl w:val="0"/>
          <w:numId w:val="8"/>
        </w:numPr>
        <w:rPr>
          <w:sz w:val="28"/>
          <w:szCs w:val="28"/>
        </w:rPr>
      </w:pPr>
      <w:r w:rsidRPr="00616270">
        <w:rPr>
          <w:sz w:val="28"/>
          <w:szCs w:val="28"/>
        </w:rPr>
        <w:t xml:space="preserve">Housing finance corporations should limit risk by forming wholly-owned subsidiaries to serve in roles of General Partner, Ground Lessor, Co-Developer and General Contractor instead of serving in such roles directly </w:t>
      </w:r>
    </w:p>
    <w:p w14:paraId="6B1713B5" w14:textId="77777777" w:rsidR="00616270" w:rsidRDefault="00616270" w:rsidP="00616270">
      <w:pPr>
        <w:pStyle w:val="ListParagraph"/>
        <w:rPr>
          <w:sz w:val="28"/>
          <w:szCs w:val="28"/>
        </w:rPr>
      </w:pPr>
    </w:p>
    <w:p w14:paraId="1FAD8C44" w14:textId="5C8446D7" w:rsidR="00616270" w:rsidRDefault="00616270" w:rsidP="00616270">
      <w:pPr>
        <w:pStyle w:val="ListParagraph"/>
        <w:numPr>
          <w:ilvl w:val="0"/>
          <w:numId w:val="8"/>
        </w:numPr>
        <w:rPr>
          <w:sz w:val="28"/>
          <w:szCs w:val="28"/>
        </w:rPr>
      </w:pPr>
      <w:r w:rsidRPr="00616270">
        <w:rPr>
          <w:sz w:val="28"/>
          <w:szCs w:val="28"/>
        </w:rPr>
        <w:t xml:space="preserve">Housing finance corporations frequently form limited liability companies to serve in each of these roles </w:t>
      </w:r>
    </w:p>
    <w:p w14:paraId="599E94D9" w14:textId="77777777" w:rsidR="00616270" w:rsidRPr="00616270" w:rsidRDefault="00616270" w:rsidP="00616270">
      <w:pPr>
        <w:rPr>
          <w:sz w:val="28"/>
          <w:szCs w:val="28"/>
        </w:rPr>
      </w:pPr>
    </w:p>
    <w:p w14:paraId="294337BD" w14:textId="1417DF00" w:rsidR="00616270" w:rsidRDefault="00616270" w:rsidP="00616270">
      <w:pPr>
        <w:pStyle w:val="ListParagraph"/>
        <w:numPr>
          <w:ilvl w:val="1"/>
          <w:numId w:val="8"/>
        </w:numPr>
        <w:rPr>
          <w:sz w:val="28"/>
          <w:szCs w:val="28"/>
        </w:rPr>
      </w:pPr>
      <w:r w:rsidRPr="00616270">
        <w:rPr>
          <w:sz w:val="28"/>
          <w:szCs w:val="28"/>
        </w:rPr>
        <w:t xml:space="preserve">A 501(c)(3) entity is commonly used for General Contractor </w:t>
      </w:r>
      <w:r>
        <w:rPr>
          <w:sz w:val="28"/>
          <w:szCs w:val="28"/>
        </w:rPr>
        <w:t>role</w:t>
      </w:r>
    </w:p>
    <w:p w14:paraId="72D2D066" w14:textId="77777777" w:rsidR="00616270" w:rsidRDefault="00616270" w:rsidP="00616270">
      <w:pPr>
        <w:pStyle w:val="ListParagraph"/>
        <w:ind w:left="1440"/>
        <w:rPr>
          <w:sz w:val="28"/>
          <w:szCs w:val="28"/>
        </w:rPr>
      </w:pPr>
    </w:p>
    <w:p w14:paraId="277026A7" w14:textId="28803D0C" w:rsidR="00616270" w:rsidRPr="00616270" w:rsidRDefault="00616270" w:rsidP="00616270">
      <w:pPr>
        <w:pStyle w:val="ListParagraph"/>
        <w:numPr>
          <w:ilvl w:val="0"/>
          <w:numId w:val="12"/>
        </w:numPr>
        <w:rPr>
          <w:sz w:val="28"/>
          <w:szCs w:val="28"/>
        </w:rPr>
      </w:pPr>
      <w:r w:rsidRPr="00616270">
        <w:rPr>
          <w:sz w:val="28"/>
          <w:szCs w:val="28"/>
        </w:rPr>
        <w:t xml:space="preserve">Housing finance corporations are typically the sole member of limited liability companies formed for these purposes </w:t>
      </w:r>
    </w:p>
    <w:p w14:paraId="5AB2B007" w14:textId="77777777" w:rsidR="00616270" w:rsidRDefault="00616270" w:rsidP="00616270">
      <w:pPr>
        <w:pStyle w:val="ListParagraph"/>
        <w:ind w:left="1440"/>
        <w:rPr>
          <w:sz w:val="28"/>
          <w:szCs w:val="28"/>
        </w:rPr>
      </w:pPr>
    </w:p>
    <w:p w14:paraId="4392E994" w14:textId="6CA8ADD0" w:rsidR="00616270" w:rsidRPr="00616270" w:rsidRDefault="00616270" w:rsidP="00616270">
      <w:pPr>
        <w:pStyle w:val="ListParagraph"/>
        <w:numPr>
          <w:ilvl w:val="1"/>
          <w:numId w:val="18"/>
        </w:numPr>
        <w:rPr>
          <w:sz w:val="28"/>
          <w:szCs w:val="28"/>
        </w:rPr>
      </w:pPr>
      <w:r w:rsidRPr="00616270">
        <w:rPr>
          <w:sz w:val="28"/>
          <w:szCs w:val="28"/>
        </w:rPr>
        <w:t xml:space="preserve">Capitalize limited liability companies at level commensurate with obligations </w:t>
      </w:r>
    </w:p>
    <w:p w14:paraId="38218221" w14:textId="658047B3" w:rsidR="00616270" w:rsidRPr="00616270" w:rsidRDefault="00616270" w:rsidP="00616270">
      <w:pPr>
        <w:pStyle w:val="ListParagraph"/>
        <w:numPr>
          <w:ilvl w:val="1"/>
          <w:numId w:val="18"/>
        </w:numPr>
        <w:rPr>
          <w:sz w:val="28"/>
          <w:szCs w:val="28"/>
        </w:rPr>
      </w:pPr>
      <w:r w:rsidRPr="00616270">
        <w:rPr>
          <w:sz w:val="28"/>
          <w:szCs w:val="28"/>
        </w:rPr>
        <w:t xml:space="preserve">Obtain appropriate indemnifications </w:t>
      </w:r>
    </w:p>
    <w:p w14:paraId="5E2DC26F" w14:textId="58F57B33" w:rsidR="00616270" w:rsidRPr="00616270" w:rsidRDefault="00616270" w:rsidP="00616270">
      <w:pPr>
        <w:pStyle w:val="ListParagraph"/>
        <w:numPr>
          <w:ilvl w:val="1"/>
          <w:numId w:val="18"/>
        </w:numPr>
        <w:rPr>
          <w:sz w:val="28"/>
          <w:szCs w:val="28"/>
        </w:rPr>
      </w:pPr>
      <w:r w:rsidRPr="00616270">
        <w:rPr>
          <w:sz w:val="28"/>
          <w:szCs w:val="28"/>
        </w:rPr>
        <w:t xml:space="preserve"> Limit representations </w:t>
      </w:r>
    </w:p>
    <w:p w14:paraId="4FEABD50" w14:textId="7B6D8ECF" w:rsidR="00616270" w:rsidRPr="00616270" w:rsidRDefault="00616270" w:rsidP="00616270">
      <w:pPr>
        <w:rPr>
          <w:rFonts w:ascii="Arial" w:hAnsi="Arial" w:cs="Arial"/>
          <w:sz w:val="28"/>
          <w:szCs w:val="28"/>
        </w:rPr>
      </w:pPr>
    </w:p>
    <w:p w14:paraId="4276711F" w14:textId="77777777" w:rsidR="00616270" w:rsidRDefault="00616270" w:rsidP="00616270">
      <w:pPr>
        <w:rPr>
          <w:rFonts w:ascii="Arial" w:hAnsi="Arial" w:cs="Arial"/>
          <w:sz w:val="28"/>
          <w:szCs w:val="28"/>
        </w:rPr>
      </w:pPr>
    </w:p>
    <w:p w14:paraId="76D338B6" w14:textId="77777777" w:rsidR="00616270" w:rsidRDefault="00616270" w:rsidP="00616270">
      <w:pPr>
        <w:rPr>
          <w:rFonts w:ascii="Arial" w:hAnsi="Arial" w:cs="Arial"/>
          <w:b/>
          <w:bCs/>
          <w:color w:val="1F3864" w:themeColor="accent1" w:themeShade="80"/>
          <w:sz w:val="40"/>
          <w:szCs w:val="40"/>
        </w:rPr>
      </w:pPr>
    </w:p>
    <w:p w14:paraId="574B6D9E" w14:textId="56FE5A18" w:rsidR="00616270" w:rsidRPr="00616270" w:rsidRDefault="00616270" w:rsidP="00616270">
      <w:pPr>
        <w:rPr>
          <w:rFonts w:ascii="Arial" w:hAnsi="Arial" w:cs="Arial"/>
          <w:b/>
          <w:bCs/>
          <w:color w:val="1F3864" w:themeColor="accent1" w:themeShade="80"/>
          <w:sz w:val="40"/>
          <w:szCs w:val="40"/>
        </w:rPr>
      </w:pPr>
      <w:r w:rsidRPr="00616270">
        <w:rPr>
          <w:rFonts w:ascii="Arial" w:hAnsi="Arial" w:cs="Arial"/>
          <w:b/>
          <w:bCs/>
          <w:color w:val="1F3864" w:themeColor="accent1" w:themeShade="80"/>
          <w:sz w:val="40"/>
          <w:szCs w:val="40"/>
        </w:rPr>
        <w:lastRenderedPageBreak/>
        <w:t xml:space="preserve">Benefits and Burdens of Partnership Structure </w:t>
      </w:r>
    </w:p>
    <w:p w14:paraId="53F3BD1A" w14:textId="77777777" w:rsidR="00616270" w:rsidRDefault="00616270" w:rsidP="00616270">
      <w:pPr>
        <w:rPr>
          <w:rFonts w:ascii="Arial" w:hAnsi="Arial" w:cs="Arial"/>
          <w:b/>
          <w:bCs/>
          <w:color w:val="1F3864" w:themeColor="accent1" w:themeShade="80"/>
          <w:sz w:val="28"/>
          <w:szCs w:val="28"/>
        </w:rPr>
      </w:pPr>
    </w:p>
    <w:p w14:paraId="3EA5EB4E" w14:textId="7FD971E8" w:rsidR="00616270" w:rsidRPr="00616270" w:rsidRDefault="00616270" w:rsidP="00616270">
      <w:pPr>
        <w:rPr>
          <w:rFonts w:ascii="Arial" w:hAnsi="Arial" w:cs="Arial"/>
          <w:b/>
          <w:bCs/>
          <w:color w:val="1F3864" w:themeColor="accent1" w:themeShade="80"/>
          <w:sz w:val="36"/>
          <w:szCs w:val="36"/>
        </w:rPr>
      </w:pPr>
      <w:r w:rsidRPr="00616270">
        <w:rPr>
          <w:rFonts w:ascii="Arial" w:hAnsi="Arial" w:cs="Arial"/>
          <w:b/>
          <w:bCs/>
          <w:color w:val="1F3864" w:themeColor="accent1" w:themeShade="80"/>
          <w:sz w:val="28"/>
          <w:szCs w:val="28"/>
        </w:rPr>
        <w:t>Benefits</w:t>
      </w:r>
    </w:p>
    <w:p w14:paraId="0C6C73C2" w14:textId="77777777" w:rsidR="00616270" w:rsidRPr="00616270" w:rsidRDefault="00616270" w:rsidP="00616270">
      <w:pPr>
        <w:pStyle w:val="ListParagraph"/>
        <w:numPr>
          <w:ilvl w:val="0"/>
          <w:numId w:val="12"/>
        </w:numPr>
        <w:rPr>
          <w:rFonts w:ascii="Arial" w:hAnsi="Arial" w:cs="Arial"/>
          <w:sz w:val="28"/>
          <w:szCs w:val="28"/>
        </w:rPr>
      </w:pPr>
      <w:r w:rsidRPr="00616270">
        <w:rPr>
          <w:sz w:val="28"/>
          <w:szCs w:val="28"/>
        </w:rPr>
        <w:t xml:space="preserve">Housing finance corporations typically share in the following fees: </w:t>
      </w:r>
    </w:p>
    <w:p w14:paraId="0CBC2F5E" w14:textId="77777777" w:rsidR="00616270" w:rsidRDefault="00616270" w:rsidP="00616270">
      <w:pPr>
        <w:pStyle w:val="ListParagraph"/>
        <w:numPr>
          <w:ilvl w:val="0"/>
          <w:numId w:val="13"/>
        </w:numPr>
        <w:rPr>
          <w:sz w:val="28"/>
          <w:szCs w:val="28"/>
        </w:rPr>
      </w:pPr>
      <w:r w:rsidRPr="00616270">
        <w:rPr>
          <w:sz w:val="28"/>
          <w:szCs w:val="28"/>
        </w:rPr>
        <w:t xml:space="preserve">Developer Fee (typically 20-30% split) </w:t>
      </w:r>
    </w:p>
    <w:p w14:paraId="1654214E" w14:textId="77777777" w:rsidR="00616270" w:rsidRDefault="00616270" w:rsidP="00616270">
      <w:pPr>
        <w:pStyle w:val="ListParagraph"/>
        <w:numPr>
          <w:ilvl w:val="0"/>
          <w:numId w:val="13"/>
        </w:numPr>
        <w:rPr>
          <w:sz w:val="28"/>
          <w:szCs w:val="28"/>
        </w:rPr>
      </w:pPr>
      <w:r w:rsidRPr="00616270">
        <w:rPr>
          <w:sz w:val="28"/>
          <w:szCs w:val="28"/>
        </w:rPr>
        <w:t xml:space="preserve">Excess cash flows, including cash generated by a sale of the </w:t>
      </w:r>
      <w:proofErr w:type="gramStart"/>
      <w:r w:rsidRPr="00616270">
        <w:rPr>
          <w:sz w:val="28"/>
          <w:szCs w:val="28"/>
        </w:rPr>
        <w:t>project  (</w:t>
      </w:r>
      <w:proofErr w:type="gramEnd"/>
      <w:r w:rsidRPr="00616270">
        <w:rPr>
          <w:sz w:val="28"/>
          <w:szCs w:val="28"/>
        </w:rPr>
        <w:t>typically 30-50% split)</w:t>
      </w:r>
    </w:p>
    <w:p w14:paraId="34134ABA" w14:textId="1B775D2A" w:rsidR="00616270" w:rsidRPr="00616270" w:rsidRDefault="00616270" w:rsidP="00616270">
      <w:pPr>
        <w:pStyle w:val="ListParagraph"/>
        <w:numPr>
          <w:ilvl w:val="0"/>
          <w:numId w:val="13"/>
        </w:numPr>
        <w:rPr>
          <w:sz w:val="28"/>
          <w:szCs w:val="28"/>
        </w:rPr>
      </w:pPr>
      <w:r w:rsidRPr="00616270">
        <w:rPr>
          <w:sz w:val="28"/>
          <w:szCs w:val="28"/>
        </w:rPr>
        <w:t xml:space="preserve">Sales tax savings (typically 20-25%) </w:t>
      </w:r>
    </w:p>
    <w:p w14:paraId="07F9C5E1" w14:textId="77777777" w:rsidR="00616270" w:rsidRPr="00616270" w:rsidRDefault="00616270" w:rsidP="00616270">
      <w:pPr>
        <w:pStyle w:val="ListParagraph"/>
        <w:numPr>
          <w:ilvl w:val="0"/>
          <w:numId w:val="12"/>
        </w:numPr>
        <w:rPr>
          <w:rFonts w:ascii="Arial" w:hAnsi="Arial" w:cs="Arial"/>
          <w:sz w:val="28"/>
          <w:szCs w:val="28"/>
        </w:rPr>
      </w:pPr>
      <w:r w:rsidRPr="00616270">
        <w:rPr>
          <w:sz w:val="28"/>
          <w:szCs w:val="28"/>
        </w:rPr>
        <w:t xml:space="preserve">Granted purchase option and right of first refusal if developer seeks to sell the project </w:t>
      </w:r>
    </w:p>
    <w:p w14:paraId="1FB9CCCF" w14:textId="4682E7F5" w:rsidR="00616270" w:rsidRPr="00616270" w:rsidRDefault="00616270" w:rsidP="00616270">
      <w:pPr>
        <w:pStyle w:val="ListParagraph"/>
        <w:numPr>
          <w:ilvl w:val="0"/>
          <w:numId w:val="12"/>
        </w:numPr>
        <w:rPr>
          <w:rFonts w:ascii="Arial" w:hAnsi="Arial" w:cs="Arial"/>
          <w:sz w:val="28"/>
          <w:szCs w:val="28"/>
        </w:rPr>
      </w:pPr>
      <w:r w:rsidRPr="00616270">
        <w:rPr>
          <w:sz w:val="28"/>
          <w:szCs w:val="28"/>
        </w:rPr>
        <w:t xml:space="preserve">Increased oversight of management of project </w:t>
      </w:r>
    </w:p>
    <w:p w14:paraId="27098B6E" w14:textId="77777777" w:rsidR="00616270" w:rsidRPr="00616270" w:rsidRDefault="00616270" w:rsidP="00616270">
      <w:pPr>
        <w:pStyle w:val="ListParagraph"/>
        <w:rPr>
          <w:rFonts w:ascii="Arial" w:hAnsi="Arial" w:cs="Arial"/>
          <w:sz w:val="28"/>
          <w:szCs w:val="28"/>
        </w:rPr>
      </w:pPr>
    </w:p>
    <w:p w14:paraId="2A978535" w14:textId="1D173E32" w:rsidR="00616270" w:rsidRPr="00616270" w:rsidRDefault="00616270" w:rsidP="00616270">
      <w:pPr>
        <w:rPr>
          <w:rFonts w:ascii="Arial" w:hAnsi="Arial" w:cs="Arial"/>
          <w:b/>
          <w:bCs/>
          <w:color w:val="1F3864" w:themeColor="accent1" w:themeShade="80"/>
          <w:sz w:val="28"/>
          <w:szCs w:val="28"/>
        </w:rPr>
      </w:pPr>
      <w:r w:rsidRPr="00616270">
        <w:rPr>
          <w:rFonts w:ascii="Arial" w:hAnsi="Arial" w:cs="Arial"/>
          <w:b/>
          <w:bCs/>
          <w:color w:val="1F3864" w:themeColor="accent1" w:themeShade="80"/>
          <w:sz w:val="28"/>
          <w:szCs w:val="28"/>
        </w:rPr>
        <w:t xml:space="preserve">Burdens </w:t>
      </w:r>
    </w:p>
    <w:p w14:paraId="1451B19B" w14:textId="77777777" w:rsidR="00616270" w:rsidRDefault="00616270" w:rsidP="00616270">
      <w:pPr>
        <w:pStyle w:val="ListParagraph"/>
        <w:numPr>
          <w:ilvl w:val="0"/>
          <w:numId w:val="12"/>
        </w:numPr>
        <w:rPr>
          <w:rFonts w:ascii="Arial" w:hAnsi="Arial" w:cs="Arial"/>
          <w:sz w:val="28"/>
          <w:szCs w:val="28"/>
        </w:rPr>
      </w:pPr>
      <w:r w:rsidRPr="00616270">
        <w:rPr>
          <w:sz w:val="28"/>
          <w:szCs w:val="28"/>
        </w:rPr>
        <w:t xml:space="preserve"> Liability risk </w:t>
      </w:r>
    </w:p>
    <w:p w14:paraId="599A2AD7" w14:textId="77777777" w:rsidR="00616270" w:rsidRPr="00616270" w:rsidRDefault="00616270" w:rsidP="00616270">
      <w:pPr>
        <w:pStyle w:val="ListParagraph"/>
        <w:numPr>
          <w:ilvl w:val="0"/>
          <w:numId w:val="12"/>
        </w:numPr>
        <w:rPr>
          <w:rFonts w:ascii="Arial" w:hAnsi="Arial" w:cs="Arial"/>
          <w:sz w:val="28"/>
          <w:szCs w:val="28"/>
        </w:rPr>
      </w:pPr>
      <w:r w:rsidRPr="00616270">
        <w:rPr>
          <w:sz w:val="28"/>
          <w:szCs w:val="28"/>
        </w:rPr>
        <w:t xml:space="preserve"> Administration of subsidiary entities and project ownership</w:t>
      </w:r>
    </w:p>
    <w:p w14:paraId="1AF76B56" w14:textId="1A4D577F" w:rsidR="00616270" w:rsidRPr="00616270" w:rsidRDefault="00616270" w:rsidP="00616270">
      <w:pPr>
        <w:pStyle w:val="ListParagraph"/>
        <w:numPr>
          <w:ilvl w:val="0"/>
          <w:numId w:val="12"/>
        </w:numPr>
        <w:rPr>
          <w:rFonts w:ascii="Arial" w:hAnsi="Arial" w:cs="Arial"/>
          <w:sz w:val="28"/>
          <w:szCs w:val="28"/>
        </w:rPr>
      </w:pPr>
      <w:r w:rsidRPr="00616270">
        <w:rPr>
          <w:sz w:val="28"/>
          <w:szCs w:val="28"/>
        </w:rPr>
        <w:t xml:space="preserve"> Political risk</w:t>
      </w:r>
    </w:p>
    <w:p w14:paraId="79E52547" w14:textId="77777777" w:rsidR="00616270" w:rsidRDefault="00616270" w:rsidP="00616270">
      <w:pPr>
        <w:rPr>
          <w:rFonts w:ascii="Arial" w:hAnsi="Arial" w:cs="Arial"/>
          <w:sz w:val="28"/>
          <w:szCs w:val="28"/>
        </w:rPr>
      </w:pPr>
    </w:p>
    <w:p w14:paraId="1DEB9117" w14:textId="54DE941E" w:rsidR="00616270" w:rsidRDefault="00616270" w:rsidP="00616270">
      <w:r w:rsidRPr="00616270">
        <w:rPr>
          <w:rFonts w:ascii="Arial" w:hAnsi="Arial" w:cs="Arial"/>
          <w:b/>
          <w:bCs/>
          <w:color w:val="002060"/>
          <w:sz w:val="36"/>
          <w:szCs w:val="36"/>
        </w:rPr>
        <w:t>Working with an HFC – 4% Bond Deal</w:t>
      </w:r>
      <w:r w:rsidRPr="00616270">
        <w:rPr>
          <w:color w:val="002060"/>
        </w:rPr>
        <w:t xml:space="preserve"> </w:t>
      </w:r>
      <w:r w:rsidRPr="00616270">
        <w:rPr>
          <w:rFonts w:ascii="Arial" w:hAnsi="Arial" w:cs="Arial"/>
          <w:b/>
          <w:bCs/>
          <w:color w:val="002060"/>
          <w:sz w:val="36"/>
          <w:szCs w:val="36"/>
        </w:rPr>
        <w:t>Timelines</w:t>
      </w:r>
      <w:r>
        <w:t xml:space="preserve"> </w:t>
      </w:r>
    </w:p>
    <w:p w14:paraId="03DFE1C6" w14:textId="77777777" w:rsidR="00616270" w:rsidRPr="00616270" w:rsidRDefault="00616270" w:rsidP="00616270">
      <w:pPr>
        <w:pStyle w:val="ListParagraph"/>
        <w:numPr>
          <w:ilvl w:val="0"/>
          <w:numId w:val="14"/>
        </w:numPr>
        <w:rPr>
          <w:color w:val="002060"/>
          <w:sz w:val="28"/>
          <w:szCs w:val="28"/>
        </w:rPr>
      </w:pPr>
      <w:r w:rsidRPr="00616270">
        <w:rPr>
          <w:sz w:val="28"/>
          <w:szCs w:val="28"/>
        </w:rPr>
        <w:t xml:space="preserve">Submission of initial application to the HFC by the developer </w:t>
      </w:r>
    </w:p>
    <w:p w14:paraId="043B8CEB" w14:textId="77777777" w:rsidR="00616270" w:rsidRPr="00616270" w:rsidRDefault="00616270" w:rsidP="00616270">
      <w:pPr>
        <w:pStyle w:val="ListParagraph"/>
        <w:numPr>
          <w:ilvl w:val="0"/>
          <w:numId w:val="14"/>
        </w:numPr>
        <w:rPr>
          <w:color w:val="002060"/>
          <w:sz w:val="28"/>
          <w:szCs w:val="28"/>
        </w:rPr>
      </w:pPr>
      <w:r w:rsidRPr="00616270">
        <w:rPr>
          <w:sz w:val="28"/>
          <w:szCs w:val="28"/>
        </w:rPr>
        <w:t>Negotiation and finalization of MOU containing deal terms</w:t>
      </w:r>
    </w:p>
    <w:p w14:paraId="79C0962B" w14:textId="77777777" w:rsidR="00616270" w:rsidRPr="00616270" w:rsidRDefault="00616270" w:rsidP="00616270">
      <w:pPr>
        <w:pStyle w:val="ListParagraph"/>
        <w:numPr>
          <w:ilvl w:val="0"/>
          <w:numId w:val="14"/>
        </w:numPr>
        <w:rPr>
          <w:color w:val="002060"/>
          <w:sz w:val="28"/>
          <w:szCs w:val="28"/>
        </w:rPr>
      </w:pPr>
      <w:r w:rsidRPr="00616270">
        <w:rPr>
          <w:sz w:val="28"/>
          <w:szCs w:val="28"/>
        </w:rPr>
        <w:t xml:space="preserve"> Initial resolution by HFC board</w:t>
      </w:r>
    </w:p>
    <w:p w14:paraId="55D8EDA0" w14:textId="77777777" w:rsidR="00616270" w:rsidRPr="00616270" w:rsidRDefault="00616270" w:rsidP="00616270">
      <w:pPr>
        <w:pStyle w:val="ListParagraph"/>
        <w:numPr>
          <w:ilvl w:val="0"/>
          <w:numId w:val="14"/>
        </w:numPr>
        <w:rPr>
          <w:color w:val="002060"/>
          <w:sz w:val="28"/>
          <w:szCs w:val="28"/>
        </w:rPr>
      </w:pPr>
      <w:r w:rsidRPr="00616270">
        <w:rPr>
          <w:sz w:val="28"/>
          <w:szCs w:val="28"/>
        </w:rPr>
        <w:t xml:space="preserve"> Bond Review Board initial application</w:t>
      </w:r>
    </w:p>
    <w:p w14:paraId="583ED2D7" w14:textId="77777777" w:rsidR="00616270" w:rsidRPr="00616270" w:rsidRDefault="00616270" w:rsidP="00616270">
      <w:pPr>
        <w:pStyle w:val="ListParagraph"/>
        <w:numPr>
          <w:ilvl w:val="0"/>
          <w:numId w:val="14"/>
        </w:numPr>
        <w:rPr>
          <w:color w:val="002060"/>
          <w:sz w:val="28"/>
          <w:szCs w:val="28"/>
        </w:rPr>
      </w:pPr>
      <w:r w:rsidRPr="00616270">
        <w:rPr>
          <w:sz w:val="28"/>
          <w:szCs w:val="28"/>
        </w:rPr>
        <w:t xml:space="preserve"> Bond Review Board 35-Day, 150-Day, and 180 deadlines</w:t>
      </w:r>
    </w:p>
    <w:p w14:paraId="61732922" w14:textId="61977837" w:rsidR="00616270" w:rsidRPr="00616270" w:rsidRDefault="00616270" w:rsidP="00616270">
      <w:pPr>
        <w:pStyle w:val="ListParagraph"/>
        <w:numPr>
          <w:ilvl w:val="0"/>
          <w:numId w:val="14"/>
        </w:numPr>
        <w:rPr>
          <w:color w:val="002060"/>
          <w:sz w:val="28"/>
          <w:szCs w:val="28"/>
        </w:rPr>
      </w:pPr>
      <w:r w:rsidRPr="00616270">
        <w:rPr>
          <w:sz w:val="28"/>
          <w:szCs w:val="28"/>
        </w:rPr>
        <w:t xml:space="preserve"> Request preliminary determination letter from appraisal district confirming availability of property tax exemption</w:t>
      </w:r>
      <w:r>
        <w:rPr>
          <w:sz w:val="28"/>
          <w:szCs w:val="28"/>
        </w:rPr>
        <w:t xml:space="preserve"> </w:t>
      </w:r>
      <w:r w:rsidRPr="00616270">
        <w:rPr>
          <w:sz w:val="28"/>
          <w:szCs w:val="28"/>
        </w:rPr>
        <w:t xml:space="preserve">(varies by county, but can take up to 3 months to obtain) </w:t>
      </w:r>
    </w:p>
    <w:p w14:paraId="4A81380E" w14:textId="77777777" w:rsidR="00616270" w:rsidRPr="00616270" w:rsidRDefault="00616270" w:rsidP="00616270">
      <w:pPr>
        <w:pStyle w:val="ListParagraph"/>
        <w:numPr>
          <w:ilvl w:val="0"/>
          <w:numId w:val="14"/>
        </w:numPr>
        <w:rPr>
          <w:color w:val="002060"/>
          <w:sz w:val="28"/>
          <w:szCs w:val="28"/>
        </w:rPr>
      </w:pPr>
      <w:r w:rsidRPr="00616270">
        <w:rPr>
          <w:sz w:val="28"/>
          <w:szCs w:val="28"/>
        </w:rPr>
        <w:t xml:space="preserve">TEFRA/Public Hearing (notice of hearing) </w:t>
      </w:r>
    </w:p>
    <w:p w14:paraId="124D9684" w14:textId="77777777" w:rsidR="00616270" w:rsidRPr="00616270" w:rsidRDefault="00616270" w:rsidP="00616270">
      <w:pPr>
        <w:pStyle w:val="ListParagraph"/>
        <w:numPr>
          <w:ilvl w:val="0"/>
          <w:numId w:val="14"/>
        </w:numPr>
        <w:rPr>
          <w:color w:val="002060"/>
          <w:sz w:val="28"/>
          <w:szCs w:val="28"/>
        </w:rPr>
      </w:pPr>
      <w:r w:rsidRPr="00616270">
        <w:rPr>
          <w:sz w:val="28"/>
          <w:szCs w:val="28"/>
        </w:rPr>
        <w:t xml:space="preserve"> TEFRA Approval </w:t>
      </w:r>
    </w:p>
    <w:p w14:paraId="206ECC5B" w14:textId="77777777" w:rsidR="00616270" w:rsidRPr="00616270" w:rsidRDefault="00616270" w:rsidP="00616270">
      <w:pPr>
        <w:pStyle w:val="ListParagraph"/>
        <w:numPr>
          <w:ilvl w:val="0"/>
          <w:numId w:val="14"/>
        </w:numPr>
        <w:rPr>
          <w:color w:val="002060"/>
          <w:sz w:val="28"/>
          <w:szCs w:val="28"/>
        </w:rPr>
      </w:pPr>
      <w:r w:rsidRPr="00616270">
        <w:rPr>
          <w:sz w:val="28"/>
          <w:szCs w:val="28"/>
        </w:rPr>
        <w:t xml:space="preserve"> Bond Resolution approved by HFC Board of Directors </w:t>
      </w:r>
    </w:p>
    <w:p w14:paraId="54EE197B" w14:textId="77777777" w:rsidR="00616270" w:rsidRPr="00616270" w:rsidRDefault="00616270" w:rsidP="00616270">
      <w:pPr>
        <w:pStyle w:val="ListParagraph"/>
        <w:numPr>
          <w:ilvl w:val="0"/>
          <w:numId w:val="14"/>
        </w:numPr>
        <w:rPr>
          <w:color w:val="002060"/>
          <w:sz w:val="28"/>
          <w:szCs w:val="28"/>
        </w:rPr>
      </w:pPr>
      <w:r w:rsidRPr="00616270">
        <w:rPr>
          <w:sz w:val="28"/>
          <w:szCs w:val="28"/>
        </w:rPr>
        <w:t xml:space="preserve">Attorney General filing deadlines: </w:t>
      </w:r>
    </w:p>
    <w:p w14:paraId="19D9B6F3" w14:textId="77777777" w:rsidR="00616270" w:rsidRPr="00616270" w:rsidRDefault="00616270" w:rsidP="00616270">
      <w:pPr>
        <w:pStyle w:val="ListParagraph"/>
        <w:numPr>
          <w:ilvl w:val="0"/>
          <w:numId w:val="17"/>
        </w:numPr>
        <w:rPr>
          <w:color w:val="002060"/>
          <w:sz w:val="28"/>
          <w:szCs w:val="28"/>
        </w:rPr>
      </w:pPr>
      <w:r w:rsidRPr="00616270">
        <w:rPr>
          <w:sz w:val="28"/>
          <w:szCs w:val="28"/>
        </w:rPr>
        <w:t>Initial filing 12 business days before closing</w:t>
      </w:r>
    </w:p>
    <w:p w14:paraId="1053436C" w14:textId="77777777" w:rsidR="00616270" w:rsidRPr="00616270" w:rsidRDefault="00616270" w:rsidP="00616270">
      <w:pPr>
        <w:pStyle w:val="ListParagraph"/>
        <w:numPr>
          <w:ilvl w:val="0"/>
          <w:numId w:val="17"/>
        </w:numPr>
        <w:rPr>
          <w:color w:val="002060"/>
          <w:sz w:val="28"/>
          <w:szCs w:val="28"/>
        </w:rPr>
      </w:pPr>
      <w:r w:rsidRPr="00616270">
        <w:rPr>
          <w:sz w:val="28"/>
          <w:szCs w:val="28"/>
        </w:rPr>
        <w:t xml:space="preserve"> Final Bond 5 business days before closing</w:t>
      </w:r>
    </w:p>
    <w:p w14:paraId="6AD32963" w14:textId="77777777" w:rsidR="00616270" w:rsidRPr="00616270" w:rsidRDefault="00616270" w:rsidP="00616270">
      <w:pPr>
        <w:pStyle w:val="ListParagraph"/>
        <w:numPr>
          <w:ilvl w:val="0"/>
          <w:numId w:val="17"/>
        </w:numPr>
        <w:rPr>
          <w:color w:val="002060"/>
          <w:sz w:val="28"/>
          <w:szCs w:val="28"/>
        </w:rPr>
      </w:pPr>
      <w:r w:rsidRPr="00616270">
        <w:rPr>
          <w:sz w:val="28"/>
          <w:szCs w:val="28"/>
        </w:rPr>
        <w:t xml:space="preserve"> Final documents and all signatures 3 business days before closing </w:t>
      </w:r>
    </w:p>
    <w:p w14:paraId="72F3BE84" w14:textId="77777777" w:rsidR="00616270" w:rsidRPr="00616270" w:rsidRDefault="00616270" w:rsidP="00616270">
      <w:pPr>
        <w:pStyle w:val="ListParagraph"/>
        <w:numPr>
          <w:ilvl w:val="0"/>
          <w:numId w:val="17"/>
        </w:numPr>
        <w:rPr>
          <w:color w:val="002060"/>
          <w:sz w:val="28"/>
          <w:szCs w:val="28"/>
        </w:rPr>
      </w:pPr>
      <w:r w:rsidRPr="00616270">
        <w:rPr>
          <w:sz w:val="28"/>
          <w:szCs w:val="28"/>
        </w:rPr>
        <w:t>Final AG Opinion issued</w:t>
      </w:r>
    </w:p>
    <w:p w14:paraId="7570EEFE" w14:textId="686B2EEA" w:rsidR="00616270" w:rsidRPr="00616270" w:rsidRDefault="00616270" w:rsidP="00616270">
      <w:pPr>
        <w:pStyle w:val="ListParagraph"/>
        <w:numPr>
          <w:ilvl w:val="0"/>
          <w:numId w:val="20"/>
        </w:numPr>
        <w:rPr>
          <w:color w:val="002060"/>
          <w:sz w:val="28"/>
          <w:szCs w:val="28"/>
        </w:rPr>
      </w:pPr>
      <w:r w:rsidRPr="00616270">
        <w:rPr>
          <w:sz w:val="28"/>
          <w:szCs w:val="28"/>
        </w:rPr>
        <w:t>Closing</w:t>
      </w:r>
    </w:p>
    <w:p w14:paraId="3825024E" w14:textId="7ED6358F" w:rsidR="00616270" w:rsidRDefault="00616270" w:rsidP="00616270">
      <w:pPr>
        <w:rPr>
          <w:rFonts w:ascii="Arial" w:hAnsi="Arial" w:cs="Arial"/>
          <w:sz w:val="28"/>
          <w:szCs w:val="28"/>
        </w:rPr>
      </w:pPr>
    </w:p>
    <w:p w14:paraId="238AA30A" w14:textId="203390D6" w:rsidR="00616270" w:rsidRDefault="00616270" w:rsidP="00616270">
      <w:pPr>
        <w:rPr>
          <w:rFonts w:ascii="Arial" w:hAnsi="Arial" w:cs="Arial"/>
          <w:b/>
          <w:bCs/>
          <w:color w:val="000000" w:themeColor="text1"/>
          <w:sz w:val="28"/>
          <w:szCs w:val="28"/>
        </w:rPr>
      </w:pPr>
    </w:p>
    <w:p w14:paraId="68569A55" w14:textId="5D37427D" w:rsidR="00616270" w:rsidRDefault="00616270" w:rsidP="00616270">
      <w:pPr>
        <w:rPr>
          <w:rFonts w:ascii="Arial" w:hAnsi="Arial" w:cs="Arial"/>
          <w:b/>
          <w:bCs/>
          <w:color w:val="002060"/>
          <w:sz w:val="36"/>
          <w:szCs w:val="36"/>
        </w:rPr>
      </w:pPr>
      <w:r w:rsidRPr="00616270">
        <w:rPr>
          <w:rFonts w:ascii="Arial" w:hAnsi="Arial" w:cs="Arial"/>
          <w:b/>
          <w:bCs/>
          <w:color w:val="002060"/>
          <w:sz w:val="36"/>
          <w:szCs w:val="36"/>
        </w:rPr>
        <w:lastRenderedPageBreak/>
        <w:t>HFC Takeaways</w:t>
      </w:r>
    </w:p>
    <w:p w14:paraId="2BFE9C83" w14:textId="77777777" w:rsidR="00616270" w:rsidRPr="00616270" w:rsidRDefault="00616270" w:rsidP="00616270">
      <w:pPr>
        <w:rPr>
          <w:rFonts w:ascii="Arial" w:hAnsi="Arial" w:cs="Arial"/>
          <w:b/>
          <w:bCs/>
          <w:color w:val="002060"/>
          <w:sz w:val="36"/>
          <w:szCs w:val="36"/>
        </w:rPr>
      </w:pPr>
    </w:p>
    <w:p w14:paraId="3602A403" w14:textId="77777777" w:rsidR="00616270" w:rsidRPr="00616270" w:rsidRDefault="00616270" w:rsidP="00616270">
      <w:pPr>
        <w:pStyle w:val="ListParagraph"/>
        <w:numPr>
          <w:ilvl w:val="0"/>
          <w:numId w:val="20"/>
        </w:numPr>
        <w:rPr>
          <w:rFonts w:ascii="Arial" w:hAnsi="Arial" w:cs="Arial"/>
          <w:b/>
          <w:bCs/>
          <w:color w:val="000000" w:themeColor="text1"/>
          <w:sz w:val="28"/>
          <w:szCs w:val="28"/>
        </w:rPr>
      </w:pPr>
      <w:r w:rsidRPr="00616270">
        <w:rPr>
          <w:rFonts w:ascii="Arial" w:hAnsi="Arial" w:cs="Arial"/>
          <w:sz w:val="28"/>
          <w:szCs w:val="28"/>
        </w:rPr>
        <w:t>HFCs bring significant value to deal with property tax and sales tax exemptions and should be compensated for providing these benefits</w:t>
      </w:r>
    </w:p>
    <w:p w14:paraId="51A395E8" w14:textId="77777777" w:rsidR="00616270" w:rsidRPr="00616270" w:rsidRDefault="00616270" w:rsidP="00616270">
      <w:pPr>
        <w:pStyle w:val="ListParagraph"/>
        <w:numPr>
          <w:ilvl w:val="0"/>
          <w:numId w:val="20"/>
        </w:numPr>
        <w:rPr>
          <w:rFonts w:ascii="Arial" w:hAnsi="Arial" w:cs="Arial"/>
          <w:b/>
          <w:bCs/>
          <w:color w:val="000000" w:themeColor="text1"/>
          <w:sz w:val="28"/>
          <w:szCs w:val="28"/>
        </w:rPr>
      </w:pPr>
      <w:r w:rsidRPr="00616270">
        <w:rPr>
          <w:rFonts w:ascii="Arial" w:hAnsi="Arial" w:cs="Arial"/>
          <w:sz w:val="28"/>
          <w:szCs w:val="28"/>
        </w:rPr>
        <w:t>HFCs are entering into long term business relationship with a developer and need to conduct proper due diligence</w:t>
      </w:r>
    </w:p>
    <w:p w14:paraId="03AE9FDB" w14:textId="77777777" w:rsidR="00616270" w:rsidRPr="00616270" w:rsidRDefault="00616270" w:rsidP="00616270">
      <w:pPr>
        <w:pStyle w:val="ListParagraph"/>
        <w:numPr>
          <w:ilvl w:val="0"/>
          <w:numId w:val="20"/>
        </w:numPr>
        <w:rPr>
          <w:rFonts w:ascii="Arial" w:hAnsi="Arial" w:cs="Arial"/>
          <w:b/>
          <w:bCs/>
          <w:color w:val="000000" w:themeColor="text1"/>
          <w:sz w:val="28"/>
          <w:szCs w:val="28"/>
        </w:rPr>
      </w:pPr>
      <w:r w:rsidRPr="00616270">
        <w:rPr>
          <w:rFonts w:ascii="Arial" w:hAnsi="Arial" w:cs="Arial"/>
          <w:sz w:val="28"/>
          <w:szCs w:val="28"/>
        </w:rPr>
        <w:t xml:space="preserve"> Partnership transactions are complicated; HFCs need team of experienced advisors</w:t>
      </w:r>
    </w:p>
    <w:p w14:paraId="754818D0" w14:textId="77F8179B" w:rsidR="00616270" w:rsidRPr="00616270" w:rsidRDefault="00616270" w:rsidP="00616270">
      <w:pPr>
        <w:pStyle w:val="ListParagraph"/>
        <w:numPr>
          <w:ilvl w:val="0"/>
          <w:numId w:val="20"/>
        </w:numPr>
        <w:rPr>
          <w:rFonts w:ascii="Arial" w:hAnsi="Arial" w:cs="Arial"/>
          <w:b/>
          <w:bCs/>
          <w:color w:val="000000" w:themeColor="text1"/>
          <w:sz w:val="28"/>
          <w:szCs w:val="28"/>
        </w:rPr>
      </w:pPr>
      <w:r w:rsidRPr="00616270">
        <w:rPr>
          <w:rFonts w:ascii="Arial" w:hAnsi="Arial" w:cs="Arial"/>
          <w:sz w:val="28"/>
          <w:szCs w:val="28"/>
        </w:rPr>
        <w:t xml:space="preserve"> HFC risk should be limited to fullest extent possible through use of subsidiary entities and indemnification</w:t>
      </w:r>
    </w:p>
    <w:sectPr w:rsidR="00616270" w:rsidRPr="00616270" w:rsidSect="00130D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E631" w14:textId="77777777" w:rsidR="008E7DAD" w:rsidRDefault="008E7DAD" w:rsidP="00AA50D8">
      <w:r>
        <w:separator/>
      </w:r>
    </w:p>
  </w:endnote>
  <w:endnote w:type="continuationSeparator" w:id="0">
    <w:p w14:paraId="0C6969D2" w14:textId="77777777" w:rsidR="008E7DAD" w:rsidRDefault="008E7DAD" w:rsidP="00AA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0574" w14:textId="77777777" w:rsidR="00AA50D8" w:rsidRDefault="00AA5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E38" w14:textId="713D760A" w:rsidR="00AA50D8" w:rsidRPr="009E579B" w:rsidRDefault="00AA50D8" w:rsidP="00AA50D8">
    <w:pPr>
      <w:pStyle w:val="Footer"/>
      <w:ind w:right="360"/>
      <w:jc w:val="center"/>
      <w:rPr>
        <w:color w:val="002060"/>
      </w:rPr>
    </w:pPr>
    <w:r>
      <w:rPr>
        <w:color w:val="002060"/>
      </w:rPr>
      <w:t>Texas Association of Local Housing Finance Agencies</w:t>
    </w:r>
  </w:p>
  <w:p w14:paraId="6DD3CFDC" w14:textId="77777777" w:rsidR="00AA50D8" w:rsidRDefault="00AA5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3640" w14:textId="77777777" w:rsidR="00AA50D8" w:rsidRDefault="00AA5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A62C" w14:textId="77777777" w:rsidR="008E7DAD" w:rsidRDefault="008E7DAD" w:rsidP="00AA50D8">
      <w:r>
        <w:separator/>
      </w:r>
    </w:p>
  </w:footnote>
  <w:footnote w:type="continuationSeparator" w:id="0">
    <w:p w14:paraId="7AA16FC6" w14:textId="77777777" w:rsidR="008E7DAD" w:rsidRDefault="008E7DAD" w:rsidP="00AA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E7E" w14:textId="77777777" w:rsidR="00AA50D8" w:rsidRDefault="00AA5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82D4" w14:textId="77777777" w:rsidR="00AA50D8" w:rsidRDefault="00AA5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CD4F" w14:textId="77777777" w:rsidR="00AA50D8" w:rsidRDefault="00AA5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36B"/>
    <w:multiLevelType w:val="hybridMultilevel"/>
    <w:tmpl w:val="949A6BB0"/>
    <w:lvl w:ilvl="0" w:tplc="749E2A94">
      <w:start w:val="1"/>
      <w:numFmt w:val="bullet"/>
      <w:lvlText w:val="o"/>
      <w:lvlJc w:val="left"/>
      <w:pPr>
        <w:ind w:left="1440" w:hanging="360"/>
      </w:pPr>
      <w:rPr>
        <w:rFonts w:ascii="Courier New" w:hAnsi="Courier New" w:hint="default"/>
        <w:sz w:val="7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32D82"/>
    <w:multiLevelType w:val="hybridMultilevel"/>
    <w:tmpl w:val="2986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291B9E"/>
    <w:multiLevelType w:val="hybridMultilevel"/>
    <w:tmpl w:val="8048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53EC"/>
    <w:multiLevelType w:val="hybridMultilevel"/>
    <w:tmpl w:val="5B22AB7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4340F83"/>
    <w:multiLevelType w:val="hybridMultilevel"/>
    <w:tmpl w:val="B088F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8B4182"/>
    <w:multiLevelType w:val="hybridMultilevel"/>
    <w:tmpl w:val="CAF256D8"/>
    <w:lvl w:ilvl="0" w:tplc="50D46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C5928"/>
    <w:multiLevelType w:val="hybridMultilevel"/>
    <w:tmpl w:val="86F8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32FC0"/>
    <w:multiLevelType w:val="hybridMultilevel"/>
    <w:tmpl w:val="2F2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2730D"/>
    <w:multiLevelType w:val="hybridMultilevel"/>
    <w:tmpl w:val="118EF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53F55"/>
    <w:multiLevelType w:val="hybridMultilevel"/>
    <w:tmpl w:val="246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A76E3"/>
    <w:multiLevelType w:val="hybridMultilevel"/>
    <w:tmpl w:val="A49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F57D9"/>
    <w:multiLevelType w:val="hybridMultilevel"/>
    <w:tmpl w:val="822E8B2A"/>
    <w:lvl w:ilvl="0" w:tplc="A498C8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660B0C"/>
    <w:multiLevelType w:val="hybridMultilevel"/>
    <w:tmpl w:val="1BA60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C20091"/>
    <w:multiLevelType w:val="hybridMultilevel"/>
    <w:tmpl w:val="DE7A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52F2C"/>
    <w:multiLevelType w:val="hybridMultilevel"/>
    <w:tmpl w:val="A8F40AA2"/>
    <w:lvl w:ilvl="0" w:tplc="749E2A94">
      <w:start w:val="1"/>
      <w:numFmt w:val="bullet"/>
      <w:lvlText w:val="o"/>
      <w:lvlJc w:val="left"/>
      <w:pPr>
        <w:ind w:left="1440" w:hanging="360"/>
      </w:pPr>
      <w:rPr>
        <w:rFonts w:ascii="Courier New" w:hAnsi="Courier New" w:hint="default"/>
        <w:sz w:val="7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236883"/>
    <w:multiLevelType w:val="hybridMultilevel"/>
    <w:tmpl w:val="7D861124"/>
    <w:lvl w:ilvl="0" w:tplc="C6204F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11621C"/>
    <w:multiLevelType w:val="hybridMultilevel"/>
    <w:tmpl w:val="3DEE5A9E"/>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17" w15:restartNumberingAfterBreak="0">
    <w:nsid w:val="768E7D51"/>
    <w:multiLevelType w:val="hybridMultilevel"/>
    <w:tmpl w:val="CB20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2426D"/>
    <w:multiLevelType w:val="hybridMultilevel"/>
    <w:tmpl w:val="CFCC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23096"/>
    <w:multiLevelType w:val="hybridMultilevel"/>
    <w:tmpl w:val="2EC0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672342">
    <w:abstractNumId w:val="2"/>
  </w:num>
  <w:num w:numId="2" w16cid:durableId="1507207379">
    <w:abstractNumId w:val="13"/>
  </w:num>
  <w:num w:numId="3" w16cid:durableId="1384402990">
    <w:abstractNumId w:val="9"/>
  </w:num>
  <w:num w:numId="4" w16cid:durableId="428696442">
    <w:abstractNumId w:val="19"/>
  </w:num>
  <w:num w:numId="5" w16cid:durableId="692654315">
    <w:abstractNumId w:val="12"/>
  </w:num>
  <w:num w:numId="6" w16cid:durableId="1533684296">
    <w:abstractNumId w:val="7"/>
  </w:num>
  <w:num w:numId="7" w16cid:durableId="2063865488">
    <w:abstractNumId w:val="11"/>
  </w:num>
  <w:num w:numId="8" w16cid:durableId="205146765">
    <w:abstractNumId w:val="10"/>
  </w:num>
  <w:num w:numId="9" w16cid:durableId="1376463099">
    <w:abstractNumId w:val="15"/>
  </w:num>
  <w:num w:numId="10" w16cid:durableId="506136821">
    <w:abstractNumId w:val="14"/>
  </w:num>
  <w:num w:numId="11" w16cid:durableId="1273786859">
    <w:abstractNumId w:val="0"/>
  </w:num>
  <w:num w:numId="12" w16cid:durableId="2033653328">
    <w:abstractNumId w:val="6"/>
  </w:num>
  <w:num w:numId="13" w16cid:durableId="1849903886">
    <w:abstractNumId w:val="5"/>
  </w:num>
  <w:num w:numId="14" w16cid:durableId="1119836055">
    <w:abstractNumId w:val="17"/>
  </w:num>
  <w:num w:numId="15" w16cid:durableId="1244534905">
    <w:abstractNumId w:val="1"/>
  </w:num>
  <w:num w:numId="16" w16cid:durableId="635645694">
    <w:abstractNumId w:val="16"/>
  </w:num>
  <w:num w:numId="17" w16cid:durableId="957370203">
    <w:abstractNumId w:val="3"/>
  </w:num>
  <w:num w:numId="18" w16cid:durableId="1402828872">
    <w:abstractNumId w:val="8"/>
  </w:num>
  <w:num w:numId="19" w16cid:durableId="277686275">
    <w:abstractNumId w:val="4"/>
  </w:num>
  <w:num w:numId="20" w16cid:durableId="15069367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70"/>
    <w:rsid w:val="00130D84"/>
    <w:rsid w:val="005A203B"/>
    <w:rsid w:val="00616270"/>
    <w:rsid w:val="00754BBE"/>
    <w:rsid w:val="0084067C"/>
    <w:rsid w:val="00866CE5"/>
    <w:rsid w:val="008E7DAD"/>
    <w:rsid w:val="00AA50D8"/>
    <w:rsid w:val="00B624CD"/>
    <w:rsid w:val="00E2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321F"/>
  <w15:chartTrackingRefBased/>
  <w15:docId w15:val="{56B9B590-8BBD-4E44-8BA9-787E6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70"/>
    <w:pPr>
      <w:ind w:left="720"/>
      <w:contextualSpacing/>
    </w:pPr>
  </w:style>
  <w:style w:type="paragraph" w:styleId="Header">
    <w:name w:val="header"/>
    <w:basedOn w:val="Normal"/>
    <w:link w:val="HeaderChar"/>
    <w:uiPriority w:val="99"/>
    <w:unhideWhenUsed/>
    <w:rsid w:val="00AA50D8"/>
    <w:pPr>
      <w:tabs>
        <w:tab w:val="center" w:pos="4680"/>
        <w:tab w:val="right" w:pos="9360"/>
      </w:tabs>
    </w:pPr>
  </w:style>
  <w:style w:type="character" w:customStyle="1" w:styleId="HeaderChar">
    <w:name w:val="Header Char"/>
    <w:basedOn w:val="DefaultParagraphFont"/>
    <w:link w:val="Header"/>
    <w:uiPriority w:val="99"/>
    <w:rsid w:val="00AA50D8"/>
  </w:style>
  <w:style w:type="paragraph" w:styleId="Footer">
    <w:name w:val="footer"/>
    <w:basedOn w:val="Normal"/>
    <w:link w:val="FooterChar"/>
    <w:uiPriority w:val="99"/>
    <w:unhideWhenUsed/>
    <w:rsid w:val="00AA50D8"/>
    <w:pPr>
      <w:tabs>
        <w:tab w:val="center" w:pos="4680"/>
        <w:tab w:val="right" w:pos="9360"/>
      </w:tabs>
    </w:pPr>
  </w:style>
  <w:style w:type="character" w:customStyle="1" w:styleId="FooterChar">
    <w:name w:val="Footer Char"/>
    <w:basedOn w:val="DefaultParagraphFont"/>
    <w:link w:val="Footer"/>
    <w:uiPriority w:val="99"/>
    <w:rsid w:val="00AA50D8"/>
  </w:style>
  <w:style w:type="character" w:styleId="Hyperlink">
    <w:name w:val="Hyperlink"/>
    <w:basedOn w:val="DefaultParagraphFont"/>
    <w:uiPriority w:val="99"/>
    <w:unhideWhenUsed/>
    <w:rsid w:val="00AA50D8"/>
    <w:rPr>
      <w:color w:val="0563C1" w:themeColor="hyperlink"/>
      <w:u w:val="single"/>
    </w:rPr>
  </w:style>
  <w:style w:type="character" w:styleId="UnresolvedMention">
    <w:name w:val="Unresolved Mention"/>
    <w:basedOn w:val="DefaultParagraphFont"/>
    <w:uiPriority w:val="99"/>
    <w:semiHidden/>
    <w:unhideWhenUsed/>
    <w:rsid w:val="00AA5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2023-02-15T22:04:00Z</cp:lastPrinted>
  <dcterms:created xsi:type="dcterms:W3CDTF">2023-02-15T20:59:00Z</dcterms:created>
  <dcterms:modified xsi:type="dcterms:W3CDTF">2023-02-15T22:13:00Z</dcterms:modified>
</cp:coreProperties>
</file>